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b/>
          <w:bCs/>
          <w:sz w:val="28"/>
          <w:szCs w:val="28"/>
        </w:rPr>
      </w:pPr>
      <w:bookmarkStart w:id="0" w:name="_GoBack"/>
      <w:bookmarkEnd w:id="0"/>
      <w:r>
        <w:rPr>
          <w:rFonts w:hint="eastAsia" w:ascii="仿宋" w:hAnsi="仿宋" w:eastAsia="仿宋"/>
          <w:b/>
          <w:bCs/>
          <w:sz w:val="28"/>
          <w:szCs w:val="28"/>
        </w:rPr>
        <w:t>附件  法律依据</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1" w:firstLineChars="200"/>
        <w:jc w:val="left"/>
        <w:textAlignment w:val="auto"/>
        <w:rPr>
          <w:rFonts w:hint="eastAsia" w:ascii="仿宋" w:hAnsi="仿宋" w:eastAsia="仿宋" w:cs="Times New Roman"/>
          <w:kern w:val="2"/>
          <w:sz w:val="24"/>
          <w:szCs w:val="24"/>
          <w:lang w:val="en-US" w:eastAsia="zh-CN" w:bidi="ar-SA"/>
        </w:rPr>
      </w:pPr>
      <w:r>
        <w:rPr>
          <w:rFonts w:hint="eastAsia" w:ascii="仿宋" w:hAnsi="仿宋" w:eastAsia="仿宋" w:cs="Times New Roman"/>
          <w:b/>
          <w:bCs/>
          <w:kern w:val="2"/>
          <w:sz w:val="24"/>
          <w:szCs w:val="24"/>
          <w:lang w:val="en-US" w:eastAsia="zh-CN" w:bidi="ar-SA"/>
        </w:rPr>
        <w:t>《处方管理办法》第八条</w:t>
      </w:r>
      <w:r>
        <w:rPr>
          <w:rFonts w:hint="eastAsia" w:ascii="仿宋" w:hAnsi="仿宋" w:eastAsia="仿宋" w:cs="Times New Roman"/>
          <w:kern w:val="2"/>
          <w:sz w:val="24"/>
          <w:szCs w:val="24"/>
          <w:lang w:val="en-US" w:eastAsia="zh-CN" w:bidi="ar-SA"/>
        </w:rPr>
        <w:t>　经注册的执业医师在执业地点取得相应的处方权。</w:t>
      </w:r>
      <w:r>
        <w:rPr>
          <w:rFonts w:hint="eastAsia" w:ascii="仿宋" w:hAnsi="仿宋" w:eastAsia="仿宋" w:cs="Times New Roman"/>
          <w:kern w:val="2"/>
          <w:sz w:val="24"/>
          <w:szCs w:val="24"/>
          <w:lang w:val="en-US" w:eastAsia="zh-CN" w:bidi="ar-SA"/>
        </w:rPr>
        <w:br w:type="textWrapping"/>
      </w:r>
      <w:r>
        <w:rPr>
          <w:rFonts w:hint="eastAsia" w:ascii="仿宋" w:hAnsi="仿宋" w:eastAsia="仿宋" w:cs="Times New Roman"/>
          <w:kern w:val="2"/>
          <w:sz w:val="24"/>
          <w:szCs w:val="24"/>
          <w:lang w:val="en-US" w:eastAsia="zh-CN" w:bidi="ar-SA"/>
        </w:rPr>
        <w:t>　　经注册的执业助理医师在医疗机构开具的处方，应当经所在执业地点执业医师签名或加盖专用签章后方有效。</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1" w:firstLineChars="200"/>
        <w:jc w:val="left"/>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t>《医疗机构管理条例》第二十七条</w:t>
      </w:r>
      <w:r>
        <w:rPr>
          <w:rFonts w:hint="eastAsia" w:ascii="仿宋" w:hAnsi="仿宋" w:eastAsia="仿宋" w:cs="仿宋"/>
          <w:sz w:val="24"/>
          <w:szCs w:val="24"/>
          <w:lang w:val="en-US" w:eastAsia="zh-CN"/>
        </w:rPr>
        <w:t xml:space="preserve">  医疗机构必须按照核准登记或者备案的诊疗科目开展诊疗活动。</w:t>
      </w:r>
    </w:p>
    <w:p>
      <w:pPr>
        <w:keepNext w:val="0"/>
        <w:keepLines w:val="0"/>
        <w:pageBreakBefore w:val="0"/>
        <w:widowControl/>
        <w:suppressLineNumbers w:val="0"/>
        <w:kinsoku/>
        <w:wordWrap/>
        <w:overflowPunct/>
        <w:topLinePunct w:val="0"/>
        <w:autoSpaceDE/>
        <w:autoSpaceDN/>
        <w:bidi w:val="0"/>
        <w:adjustRightInd/>
        <w:snapToGrid/>
        <w:spacing w:line="480" w:lineRule="exact"/>
        <w:ind w:firstLine="481"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val="en-US" w:eastAsia="zh-CN"/>
        </w:rPr>
        <w:t>《处方管理办法》第五十四条</w:t>
      </w:r>
      <w:r>
        <w:rPr>
          <w:rFonts w:hint="eastAsia" w:ascii="仿宋" w:hAnsi="仿宋" w:eastAsia="仿宋" w:cs="仿宋"/>
          <w:sz w:val="24"/>
          <w:szCs w:val="24"/>
          <w:lang w:val="en-US" w:eastAsia="zh-CN"/>
        </w:rPr>
        <w:t>　医疗机构有下列情形之一的，由县级以上卫生行政部门按照《医疗机构管理条例》第四十八条的规定，责令限期改正，并可处以5000元以下的罚款；情节严重的，吊销其《医疗机构执业许可证》：</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　　（一）使用未取得处方权的人员、被取消处方权的医师开具处方的；</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　　（二）使用未取得麻醉药品和第一类精神药品处方资格的医师开具麻醉药品和第一类精神药品处方的；</w:t>
      </w:r>
      <w:r>
        <w:rPr>
          <w:rFonts w:hint="eastAsia" w:ascii="仿宋" w:hAnsi="仿宋" w:eastAsia="仿宋" w:cs="仿宋"/>
          <w:sz w:val="24"/>
          <w:szCs w:val="24"/>
          <w:lang w:val="en-US" w:eastAsia="zh-CN"/>
        </w:rPr>
        <w:br w:type="textWrapping"/>
      </w:r>
      <w:r>
        <w:rPr>
          <w:rFonts w:hint="eastAsia" w:ascii="仿宋" w:hAnsi="仿宋" w:eastAsia="仿宋" w:cs="仿宋"/>
          <w:sz w:val="24"/>
          <w:szCs w:val="24"/>
          <w:lang w:val="en-US" w:eastAsia="zh-CN"/>
        </w:rPr>
        <w:t>　　（三）使用未取得药学专业技术职务任职资格的人员从事处方调剂工作的。</w:t>
      </w:r>
      <w:r>
        <w:rPr>
          <w:rFonts w:hint="eastAsia" w:ascii="仿宋" w:hAnsi="仿宋" w:eastAsia="仿宋" w:cs="仿宋"/>
          <w:sz w:val="24"/>
          <w:szCs w:val="24"/>
          <w:lang w:val="en-US" w:eastAsia="zh-CN"/>
        </w:rPr>
        <w:br w:type="textWrapping"/>
      </w:r>
      <w:r>
        <w:rPr>
          <w:rFonts w:hint="eastAsia" w:ascii="仿宋" w:hAnsi="仿宋" w:eastAsia="仿宋" w:cs="仿宋_GB2312"/>
          <w:b/>
          <w:bCs/>
          <w:color w:val="auto"/>
          <w:sz w:val="24"/>
          <w:szCs w:val="24"/>
        </w:rPr>
        <w:t>《</w:t>
      </w:r>
      <w:r>
        <w:rPr>
          <w:rFonts w:hint="eastAsia" w:ascii="仿宋" w:hAnsi="仿宋" w:eastAsia="仿宋" w:cs="仿宋"/>
          <w:b/>
          <w:bCs/>
          <w:sz w:val="24"/>
          <w:szCs w:val="24"/>
          <w:lang w:val="en-US" w:eastAsia="zh-CN"/>
        </w:rPr>
        <w:t>医疗机构管理条例》第四十七条</w:t>
      </w:r>
      <w:r>
        <w:rPr>
          <w:rFonts w:hint="eastAsia" w:ascii="仿宋" w:hAnsi="仿宋" w:eastAsia="仿宋" w:cs="仿宋"/>
          <w:sz w:val="24"/>
          <w:szCs w:val="24"/>
          <w:lang w:val="en-US" w:eastAsia="zh-CN"/>
        </w:rPr>
        <w:t>　违反本条例第二十七条规定，使用非卫生技术人员从事医疗卫生技术工作的，由县级以上人民政府卫生行政部门责令其限期改正，并可以处以1 万元以上10 万元以下的罚款；情节严重的，吊销其《医疗机构执业许可证》或者责令其停止执业活动。</w:t>
      </w:r>
    </w:p>
    <w:p>
      <w:pPr>
        <w:pStyle w:val="2"/>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480" w:lineRule="exac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b/>
          <w:bCs/>
          <w:color w:val="auto"/>
          <w:kern w:val="2"/>
          <w:sz w:val="24"/>
          <w:szCs w:val="24"/>
          <w:lang w:val="en-US" w:eastAsia="zh-CN" w:bidi="ar-SA"/>
        </w:rPr>
        <w:t>厦门市卫生健康委员会制定的关于《&lt;医疗机构管理条例&gt;行政处罚自由裁量细化标准》中本条款自由裁量权细化标准：</w:t>
      </w:r>
      <w:r>
        <w:rPr>
          <w:rFonts w:hint="eastAsia" w:ascii="仿宋" w:hAnsi="仿宋" w:eastAsia="仿宋" w:cs="仿宋"/>
          <w:color w:val="auto"/>
          <w:kern w:val="2"/>
          <w:sz w:val="24"/>
          <w:szCs w:val="24"/>
          <w:lang w:val="en-US" w:eastAsia="zh-CN" w:bidi="ar-SA"/>
        </w:rPr>
        <w:t>（一）对使用非卫生技术人员从事医疗卫生技术工作的行为的行政处罚，使用1名非卫生技术人员从事医疗卫生技术工作，未造成危害后果；责令其限期改正，处1万元以上2万元以下的罚款”。</w:t>
      </w:r>
    </w:p>
    <w:p>
      <w:pPr>
        <w:pStyle w:val="2"/>
        <w:keepNext w:val="0"/>
        <w:keepLines w:val="0"/>
        <w:pageBreakBefore w:val="0"/>
        <w:widowControl/>
        <w:kinsoku/>
        <w:wordWrap/>
        <w:overflowPunct/>
        <w:topLinePunct w:val="0"/>
        <w:autoSpaceDE/>
        <w:autoSpaceDN/>
        <w:bidi w:val="0"/>
        <w:adjustRightInd w:val="0"/>
        <w:snapToGrid w:val="0"/>
        <w:spacing w:line="480" w:lineRule="exact"/>
        <w:ind w:firstLine="481" w:firstLineChars="200"/>
        <w:textAlignment w:val="auto"/>
        <w:rPr>
          <w:rFonts w:hint="eastAsia" w:ascii="仿宋" w:hAnsi="仿宋" w:eastAsia="仿宋" w:cs="仿宋_GB2312"/>
          <w:color w:val="auto"/>
          <w:sz w:val="24"/>
          <w:szCs w:val="24"/>
          <w:lang w:val="en-US" w:eastAsia="zh-CN"/>
        </w:rPr>
      </w:pPr>
      <w:r>
        <w:rPr>
          <w:rFonts w:hint="eastAsia" w:ascii="仿宋" w:hAnsi="仿宋" w:eastAsia="仿宋" w:cs="仿宋_GB2312"/>
          <w:b/>
          <w:bCs/>
          <w:color w:val="auto"/>
          <w:sz w:val="24"/>
          <w:szCs w:val="24"/>
          <w:lang w:val="en-US" w:eastAsia="zh-CN"/>
        </w:rPr>
        <w:t>《中华人民共和国行政处罚法》第七十二条</w:t>
      </w:r>
      <w:r>
        <w:rPr>
          <w:rFonts w:hint="eastAsia" w:ascii="仿宋" w:hAnsi="仿宋" w:eastAsia="仿宋" w:cs="仿宋_GB2312"/>
          <w:color w:val="auto"/>
          <w:sz w:val="24"/>
          <w:szCs w:val="24"/>
          <w:lang w:val="en-US" w:eastAsia="zh-CN"/>
        </w:rPr>
        <w:t>第一款第一项：当事人逾期不履行行政处罚决定的，作出行政处罚决定的行政机关可以采取下列措施：（一）到期不缴纳罚款的，每日按罚款数额的百分之三加处罚款，加处罚款的数额不得超出罚款的数额。</w:t>
      </w:r>
    </w:p>
    <w:p>
      <w:pPr>
        <w:pStyle w:val="2"/>
        <w:adjustRightInd w:val="0"/>
        <w:snapToGrid w:val="0"/>
        <w:spacing w:line="360" w:lineRule="auto"/>
        <w:ind w:firstLine="560" w:firstLineChars="200"/>
        <w:rPr>
          <w:rFonts w:ascii="仿宋" w:hAnsi="仿宋" w:eastAsia="仿宋"/>
          <w:sz w:val="28"/>
          <w:szCs w:val="28"/>
        </w:rPr>
      </w:pPr>
    </w:p>
    <w:sectPr>
      <w:pgSz w:w="11906" w:h="16838"/>
      <w:pgMar w:top="1440" w:right="1236" w:bottom="1440" w:left="134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auto"/>
    <w:pitch w:val="default"/>
    <w:sig w:usb0="00000000" w:usb1="00000000" w:usb2="0000003F" w:usb3="00000000" w:csb0="003F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EF4AA8"/>
    <w:rsid w:val="05FC1EF7"/>
    <w:rsid w:val="08877DB0"/>
    <w:rsid w:val="0C4F6F4F"/>
    <w:rsid w:val="0C6C660A"/>
    <w:rsid w:val="0C7B21F4"/>
    <w:rsid w:val="104525AA"/>
    <w:rsid w:val="18B31636"/>
    <w:rsid w:val="1E283039"/>
    <w:rsid w:val="1F702025"/>
    <w:rsid w:val="1FE47732"/>
    <w:rsid w:val="20564675"/>
    <w:rsid w:val="20BF3278"/>
    <w:rsid w:val="254C4C37"/>
    <w:rsid w:val="266D4125"/>
    <w:rsid w:val="306A3E68"/>
    <w:rsid w:val="30861226"/>
    <w:rsid w:val="32323204"/>
    <w:rsid w:val="33936493"/>
    <w:rsid w:val="343E4EF3"/>
    <w:rsid w:val="35BD2B56"/>
    <w:rsid w:val="375443EF"/>
    <w:rsid w:val="39817F77"/>
    <w:rsid w:val="3A6B6A46"/>
    <w:rsid w:val="3A6F2116"/>
    <w:rsid w:val="3B6D5E5D"/>
    <w:rsid w:val="3C1A120A"/>
    <w:rsid w:val="3F8331AE"/>
    <w:rsid w:val="40E31490"/>
    <w:rsid w:val="41A1514F"/>
    <w:rsid w:val="41E07BF7"/>
    <w:rsid w:val="42033C91"/>
    <w:rsid w:val="45994A4B"/>
    <w:rsid w:val="4C83233A"/>
    <w:rsid w:val="506E7B90"/>
    <w:rsid w:val="50FD1CDA"/>
    <w:rsid w:val="511E060E"/>
    <w:rsid w:val="52E07385"/>
    <w:rsid w:val="56E640F4"/>
    <w:rsid w:val="58F011DC"/>
    <w:rsid w:val="59207D09"/>
    <w:rsid w:val="5A864310"/>
    <w:rsid w:val="5E1F2550"/>
    <w:rsid w:val="604011D1"/>
    <w:rsid w:val="60730A8A"/>
    <w:rsid w:val="6491382E"/>
    <w:rsid w:val="684533A8"/>
    <w:rsid w:val="6BBB6B9F"/>
    <w:rsid w:val="723B4387"/>
    <w:rsid w:val="72596DF5"/>
    <w:rsid w:val="75133EB0"/>
    <w:rsid w:val="76542D64"/>
    <w:rsid w:val="77FFB726"/>
    <w:rsid w:val="7C6545E8"/>
    <w:rsid w:val="7EF34DEF"/>
    <w:rsid w:val="F7FF7F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qFormat/>
    <w:uiPriority w:val="0"/>
    <w:pPr>
      <w:widowControl/>
      <w:spacing w:before="100" w:beforeAutospacing="1" w:after="100" w:afterAutospacing="1"/>
      <w:jc w:val="left"/>
    </w:pPr>
    <w:rPr>
      <w:rFonts w:ascii="Arial Unicode MS" w:hAnsi="Arial Unicode MS" w:eastAsia="Arial Unicode MS" w:cs="Arial Unicode MS"/>
      <w:color w:val="006699"/>
      <w:kern w:val="0"/>
      <w:sz w:val="24"/>
      <w:szCs w:val="24"/>
    </w:rPr>
  </w:style>
  <w:style w:type="paragraph" w:styleId="3">
    <w:name w:val="Balloon Text"/>
    <w:basedOn w:val="1"/>
    <w:link w:val="11"/>
    <w:semiHidden/>
    <w:unhideWhenUsed/>
    <w:qFormat/>
    <w:uiPriority w:val="0"/>
    <w:rPr>
      <w:sz w:val="18"/>
      <w:szCs w:val="18"/>
    </w:rPr>
  </w:style>
  <w:style w:type="paragraph" w:styleId="4">
    <w:name w:val="footer"/>
    <w:basedOn w:val="1"/>
    <w:link w:val="9"/>
    <w:semiHidden/>
    <w:unhideWhenUsed/>
    <w:qFormat/>
    <w:uiPriority w:val="99"/>
    <w:pPr>
      <w:tabs>
        <w:tab w:val="center" w:pos="4513"/>
        <w:tab w:val="right" w:pos="9026"/>
      </w:tabs>
      <w:snapToGrid w:val="0"/>
      <w:jc w:val="left"/>
    </w:pPr>
    <w:rPr>
      <w:sz w:val="18"/>
      <w:szCs w:val="18"/>
    </w:rPr>
  </w:style>
  <w:style w:type="paragraph" w:styleId="5">
    <w:name w:val="header"/>
    <w:basedOn w:val="1"/>
    <w:link w:val="8"/>
    <w:semiHidden/>
    <w:unhideWhenUsed/>
    <w:qFormat/>
    <w:uiPriority w:val="99"/>
    <w:pPr>
      <w:pBdr>
        <w:bottom w:val="single" w:color="auto" w:sz="6" w:space="1"/>
      </w:pBdr>
      <w:tabs>
        <w:tab w:val="center" w:pos="4513"/>
        <w:tab w:val="right" w:pos="9026"/>
      </w:tabs>
      <w:snapToGrid w:val="0"/>
      <w:jc w:val="center"/>
    </w:pPr>
    <w:rPr>
      <w:sz w:val="18"/>
      <w:szCs w:val="18"/>
    </w:rPr>
  </w:style>
  <w:style w:type="character" w:customStyle="1" w:styleId="8">
    <w:name w:val="页眉 Char Char"/>
    <w:basedOn w:val="7"/>
    <w:link w:val="5"/>
    <w:qFormat/>
    <w:uiPriority w:val="99"/>
    <w:rPr>
      <w:kern w:val="2"/>
      <w:sz w:val="18"/>
      <w:szCs w:val="18"/>
    </w:rPr>
  </w:style>
  <w:style w:type="character" w:customStyle="1" w:styleId="9">
    <w:name w:val="页脚 Char Char"/>
    <w:basedOn w:val="7"/>
    <w:link w:val="4"/>
    <w:qFormat/>
    <w:uiPriority w:val="99"/>
    <w:rPr>
      <w:kern w:val="2"/>
      <w:sz w:val="18"/>
      <w:szCs w:val="18"/>
    </w:rPr>
  </w:style>
  <w:style w:type="character" w:customStyle="1" w:styleId="10">
    <w:name w:val="apple-converted-space"/>
    <w:basedOn w:val="7"/>
    <w:qFormat/>
    <w:uiPriority w:val="0"/>
  </w:style>
  <w:style w:type="character" w:customStyle="1" w:styleId="11">
    <w:name w:val="批注框文本 Char Char"/>
    <w:basedOn w:val="7"/>
    <w:link w:val="3"/>
    <w:qFormat/>
    <w:uiPriority w:val="0"/>
    <w:rPr>
      <w:kern w:val="2"/>
      <w:sz w:val="18"/>
      <w:szCs w:val="18"/>
    </w:rPr>
  </w:style>
  <w:style w:type="character" w:customStyle="1" w:styleId="12">
    <w:name w:val="纯文本 Char Char"/>
    <w:basedOn w:val="7"/>
    <w:link w:val="2"/>
    <w:qFormat/>
    <w:uiPriority w:val="0"/>
    <w:rPr>
      <w:rFonts w:ascii="Arial Unicode MS" w:hAnsi="Arial Unicode MS" w:eastAsia="Arial Unicode MS" w:cs="Arial Unicode MS"/>
      <w:color w:val="006699"/>
      <w:sz w:val="24"/>
      <w:szCs w:val="24"/>
    </w:rPr>
  </w:style>
  <w:style w:type="character" w:customStyle="1" w:styleId="13">
    <w:name w:val="纯文本 Char1"/>
    <w:basedOn w:val="7"/>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33</Words>
  <Characters>194</Characters>
  <Lines>1</Lines>
  <Paragraphs>1</Paragraphs>
  <TotalTime>4</TotalTime>
  <ScaleCrop>false</ScaleCrop>
  <LinksUpToDate>false</LinksUpToDate>
  <CharactersWithSpaces>0</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2015-02-14T08:22:00Z</dcterms:created>
  <dc:creator>PC</dc:creator>
  <cp:lastModifiedBy>xmadmin</cp:lastModifiedBy>
  <cp:lastPrinted>2019-10-09T07:43:00Z</cp:lastPrinted>
  <dcterms:modified xsi:type="dcterms:W3CDTF">2024-01-19T14:43:50Z</dcterms:modified>
  <dc:title>附加：法律依据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CA4B1F7AE27A124D261AAA651262A34D</vt:lpwstr>
  </property>
</Properties>
</file>