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t>厦门市海沧区第五次全国经济普查公报</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t>（第五号）</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t>——第三产业基本情况之二</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center"/>
        <w:textAlignment w:val="auto"/>
        <w:rPr>
          <w:rFonts w:hint="eastAsia" w:ascii="楷体_GB2312" w:hAnsi="楷体_GB2312" w:eastAsia="楷体_GB2312" w:cs="楷体_GB2312"/>
          <w:color w:val="0C0C0C"/>
          <w:kern w:val="2"/>
          <w:sz w:val="32"/>
          <w:szCs w:val="32"/>
          <w:lang w:val="en-US" w:eastAsia="zh-CN" w:bidi="ar-SA"/>
        </w:rPr>
      </w:pPr>
      <w:r>
        <w:rPr>
          <w:rFonts w:hint="eastAsia" w:ascii="楷体_GB2312" w:hAnsi="楷体_GB2312" w:eastAsia="楷体_GB2312" w:cs="楷体_GB2312"/>
          <w:color w:val="0C0C0C"/>
          <w:kern w:val="2"/>
          <w:sz w:val="32"/>
          <w:szCs w:val="32"/>
          <w:lang w:val="en-US" w:eastAsia="zh-CN" w:bidi="ar-SA"/>
        </w:rPr>
        <w:t>厦门市海沧区统计局</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center"/>
        <w:textAlignment w:val="auto"/>
        <w:rPr>
          <w:rFonts w:hint="eastAsia" w:ascii="楷体_GB2312" w:hAnsi="楷体_GB2312" w:eastAsia="楷体_GB2312" w:cs="楷体_GB2312"/>
          <w:color w:val="0C0C0C"/>
          <w:kern w:val="2"/>
          <w:sz w:val="32"/>
          <w:szCs w:val="32"/>
          <w:lang w:val="en-US" w:eastAsia="zh-CN" w:bidi="ar-SA"/>
        </w:rPr>
      </w:pPr>
      <w:r>
        <w:rPr>
          <w:rFonts w:hint="eastAsia" w:ascii="楷体_GB2312" w:hAnsi="楷体_GB2312" w:eastAsia="楷体_GB2312" w:cs="楷体_GB2312"/>
          <w:color w:val="0C0C0C"/>
          <w:kern w:val="2"/>
          <w:sz w:val="32"/>
          <w:szCs w:val="32"/>
          <w:lang w:val="en-US" w:eastAsia="zh-CN" w:bidi="ar-SA"/>
        </w:rPr>
        <w:t>厦门市海沧区第五次全国经济普查领导小组办公室</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center"/>
        <w:textAlignment w:val="auto"/>
        <w:rPr>
          <w:rFonts w:hint="default" w:ascii="楷体_GB2312" w:hAnsi="楷体_GB2312" w:eastAsia="楷体_GB2312" w:cs="楷体_GB2312"/>
          <w:color w:val="0C0C0C"/>
          <w:kern w:val="2"/>
          <w:sz w:val="32"/>
          <w:szCs w:val="32"/>
          <w:lang w:val="en-US" w:eastAsia="zh-CN" w:bidi="ar-SA"/>
        </w:rPr>
      </w:pPr>
      <w:r>
        <w:rPr>
          <w:rFonts w:hint="eastAsia" w:ascii="楷体_GB2312" w:hAnsi="楷体_GB2312" w:eastAsia="楷体_GB2312" w:cs="楷体_GB2312"/>
          <w:color w:val="0C0C0C"/>
          <w:kern w:val="2"/>
          <w:sz w:val="32"/>
          <w:szCs w:val="32"/>
          <w:lang w:val="en-US" w:eastAsia="zh-CN" w:bidi="ar-SA"/>
        </w:rPr>
        <w:t>（2025年5月23</w:t>
      </w:r>
      <w:bookmarkStart w:id="0" w:name="_GoBack"/>
      <w:bookmarkEnd w:id="0"/>
      <w:r>
        <w:rPr>
          <w:rFonts w:hint="eastAsia" w:ascii="楷体_GB2312" w:hAnsi="楷体_GB2312" w:eastAsia="楷体_GB2312" w:cs="楷体_GB2312"/>
          <w:color w:val="0C0C0C"/>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center"/>
        <w:textAlignment w:val="auto"/>
        <w:rPr>
          <w:rFonts w:hint="eastAsia" w:ascii="楷体_GB2312" w:hAnsi="楷体_GB2312" w:eastAsia="楷体_GB2312" w:cs="楷体_GB2312"/>
          <w:color w:val="0C0C0C"/>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80" w:lineRule="exact"/>
        <w:ind w:firstLine="608"/>
        <w:textAlignment w:val="center"/>
        <w:rPr>
          <w:rFonts w:hint="eastAsia" w:ascii="仿宋_GB2312" w:hAnsi="仿宋_GB2312" w:eastAsia="仿宋_GB2312" w:cs="仿宋_GB2312"/>
          <w:color w:val="0C0C0C"/>
          <w:spacing w:val="-6"/>
          <w:kern w:val="2"/>
          <w:sz w:val="32"/>
          <w:szCs w:val="32"/>
          <w:u w:val="none"/>
          <w:lang w:val="en-US" w:eastAsia="zh-CN" w:bidi="ar-SA"/>
        </w:rPr>
      </w:pPr>
      <w:r>
        <w:rPr>
          <w:rFonts w:hint="eastAsia" w:ascii="仿宋_GB2312" w:hAnsi="仿宋_GB2312" w:eastAsia="仿宋_GB2312" w:cs="仿宋_GB2312"/>
          <w:color w:val="0C0C0C"/>
          <w:spacing w:val="-6"/>
          <w:kern w:val="2"/>
          <w:sz w:val="32"/>
          <w:szCs w:val="32"/>
          <w:u w:val="none"/>
          <w:lang w:val="en-US" w:eastAsia="zh-CN" w:bidi="ar-SA"/>
        </w:rPr>
        <w:t>根据第五次全国经济普查结果，现将我区第三产业中科学研究和技术服务业，水利、环境和公共设施管理业，居民服务、修理和其他服务业，教育，卫生和社会工作，文化、体育和娱乐业，公共管理、社会保障和社会组织的主要数据公布如下：</w:t>
      </w:r>
    </w:p>
    <w:p>
      <w:pPr>
        <w:pStyle w:val="4"/>
        <w:keepNext w:val="0"/>
        <w:keepLines w:val="0"/>
        <w:pageBreakBefore w:val="0"/>
        <w:widowControl w:val="0"/>
        <w:kinsoku/>
        <w:wordWrap/>
        <w:overflowPunct/>
        <w:topLinePunct w:val="0"/>
        <w:autoSpaceDE/>
        <w:autoSpaceDN/>
        <w:bidi w:val="0"/>
        <w:adjustRightInd/>
        <w:snapToGrid/>
        <w:spacing w:line="580" w:lineRule="exact"/>
        <w:ind w:firstLine="608"/>
        <w:textAlignment w:val="center"/>
        <w:rPr>
          <w:rFonts w:hint="eastAsia" w:ascii="仿宋_GB2312" w:hAnsi="仿宋_GB2312" w:eastAsia="仿宋_GB2312" w:cs="仿宋_GB2312"/>
          <w:b w:val="0"/>
          <w:bCs/>
          <w:i w:val="0"/>
          <w:caps w:val="0"/>
          <w:color w:val="0C0C0C"/>
          <w:spacing w:val="0"/>
          <w:kern w:val="0"/>
          <w:sz w:val="32"/>
          <w:szCs w:val="32"/>
          <w:highlight w:val="none"/>
          <w:lang w:val="en-US" w:eastAsia="zh-CN" w:bidi="ar"/>
        </w:rPr>
      </w:pPr>
      <w:r>
        <w:rPr>
          <w:rFonts w:hint="eastAsia" w:ascii="黑体" w:hAnsi="黑体" w:eastAsia="黑体" w:cs="黑体"/>
          <w:b w:val="0"/>
          <w:bCs/>
          <w:i w:val="0"/>
          <w:caps w:val="0"/>
          <w:color w:val="0C0C0C"/>
          <w:spacing w:val="0"/>
          <w:kern w:val="0"/>
          <w:sz w:val="32"/>
          <w:szCs w:val="32"/>
          <w:highlight w:val="none"/>
          <w:lang w:val="en-US" w:eastAsia="zh-CN" w:bidi="ar"/>
        </w:rPr>
        <w:t>一、科学研究和技术服务业</w:t>
      </w:r>
    </w:p>
    <w:p>
      <w:pPr>
        <w:pStyle w:val="4"/>
        <w:keepNext w:val="0"/>
        <w:keepLines w:val="0"/>
        <w:pageBreakBefore w:val="0"/>
        <w:widowControl w:val="0"/>
        <w:kinsoku/>
        <w:wordWrap/>
        <w:overflowPunct/>
        <w:topLinePunct w:val="0"/>
        <w:autoSpaceDE/>
        <w:autoSpaceDN/>
        <w:bidi w:val="0"/>
        <w:adjustRightInd/>
        <w:snapToGrid/>
        <w:spacing w:line="580" w:lineRule="exact"/>
        <w:ind w:firstLine="608"/>
        <w:textAlignment w:val="center"/>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楷体_GB2312" w:hAnsi="楷体_GB2312" w:eastAsia="楷体_GB2312" w:cs="楷体_GB2312"/>
          <w:i w:val="0"/>
          <w:caps w:val="0"/>
          <w:color w:val="0C0C0C"/>
          <w:spacing w:val="0"/>
          <w:kern w:val="0"/>
          <w:sz w:val="32"/>
          <w:szCs w:val="32"/>
          <w:highlight w:val="none"/>
          <w:lang w:val="en-US" w:eastAsia="zh-CN" w:bidi="ar"/>
        </w:rPr>
        <w:t>（一）法人单位数和从业人员</w:t>
      </w:r>
    </w:p>
    <w:p>
      <w:pPr>
        <w:rPr>
          <w:rFonts w:hint="eastAsia" w:ascii="仿宋_GB2312" w:hAnsi="仿宋_GB2312" w:eastAsia="仿宋_GB2312" w:cs="仿宋_GB2312"/>
          <w:color w:val="0C0C0C"/>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2023年末，全区共有科学研究和技术服务业法人单位</w:t>
      </w:r>
      <w:r>
        <w:rPr>
          <w:rFonts w:hint="eastAsia" w:ascii="仿宋_GB2312" w:hAnsi="仿宋_GB2312" w:eastAsia="仿宋_GB2312" w:cs="仿宋_GB2312"/>
          <w:color w:val="auto"/>
          <w:sz w:val="32"/>
          <w:szCs w:val="32"/>
          <w:highlight w:val="none"/>
          <w:u w:val="none"/>
          <w:lang w:val="en-US" w:eastAsia="zh-CN"/>
        </w:rPr>
        <w:t>1569</w:t>
      </w:r>
      <w:r>
        <w:rPr>
          <w:rFonts w:hint="eastAsia" w:ascii="仿宋_GB2312" w:hAnsi="仿宋_GB2312" w:eastAsia="仿宋_GB2312" w:cs="仿宋_GB2312"/>
          <w:color w:val="auto"/>
          <w:spacing w:val="-6"/>
          <w:kern w:val="2"/>
          <w:sz w:val="32"/>
          <w:szCs w:val="32"/>
          <w:highlight w:val="none"/>
          <w:u w:val="none"/>
          <w:lang w:val="en-US" w:eastAsia="zh-CN" w:bidi="ar-SA"/>
        </w:rPr>
        <w:t>个，从业人员</w:t>
      </w:r>
      <w:r>
        <w:rPr>
          <w:rFonts w:hint="eastAsia" w:ascii="仿宋_GB2312" w:hAnsi="仿宋_GB2312" w:eastAsia="仿宋_GB2312" w:cs="仿宋_GB2312"/>
          <w:color w:val="auto"/>
          <w:sz w:val="32"/>
          <w:szCs w:val="32"/>
          <w:highlight w:val="none"/>
          <w:u w:val="none"/>
          <w:lang w:val="en-US" w:eastAsia="zh-CN"/>
        </w:rPr>
        <w:t>1.05</w:t>
      </w:r>
      <w:r>
        <w:rPr>
          <w:rFonts w:hint="eastAsia" w:ascii="仿宋_GB2312" w:hAnsi="仿宋_GB2312" w:eastAsia="仿宋_GB2312" w:cs="仿宋_GB2312"/>
          <w:color w:val="auto"/>
          <w:spacing w:val="-6"/>
          <w:kern w:val="2"/>
          <w:sz w:val="32"/>
          <w:szCs w:val="32"/>
          <w:highlight w:val="none"/>
          <w:u w:val="none"/>
          <w:lang w:val="en-US" w:eastAsia="zh-CN" w:bidi="ar-SA"/>
        </w:rPr>
        <w:t>万人，分别比2018年末增长</w:t>
      </w:r>
      <w:r>
        <w:rPr>
          <w:rFonts w:hint="eastAsia" w:ascii="仿宋_GB2312" w:hAnsi="仿宋_GB2312" w:eastAsia="仿宋_GB2312" w:cs="仿宋_GB2312"/>
          <w:color w:val="auto"/>
          <w:sz w:val="32"/>
          <w:szCs w:val="32"/>
          <w:highlight w:val="none"/>
          <w:u w:val="none"/>
          <w:lang w:val="en-US" w:eastAsia="zh-CN"/>
        </w:rPr>
        <w:t>69.3%</w:t>
      </w:r>
      <w:r>
        <w:rPr>
          <w:rFonts w:hint="eastAsia" w:ascii="仿宋_GB2312" w:hAnsi="仿宋_GB2312" w:eastAsia="仿宋_GB2312" w:cs="仿宋_GB2312"/>
          <w:color w:val="auto"/>
          <w:spacing w:val="-6"/>
          <w:kern w:val="2"/>
          <w:sz w:val="32"/>
          <w:szCs w:val="32"/>
          <w:highlight w:val="none"/>
          <w:u w:val="none"/>
          <w:lang w:val="en-US" w:eastAsia="zh-CN" w:bidi="ar-SA"/>
        </w:rPr>
        <w:t>和</w:t>
      </w:r>
      <w:r>
        <w:rPr>
          <w:rFonts w:hint="eastAsia" w:ascii="仿宋_GB2312" w:hAnsi="仿宋_GB2312" w:eastAsia="仿宋_GB2312" w:cs="仿宋_GB2312"/>
          <w:color w:val="auto"/>
          <w:sz w:val="32"/>
          <w:szCs w:val="32"/>
          <w:highlight w:val="none"/>
          <w:u w:val="none"/>
          <w:lang w:val="en-US" w:eastAsia="zh-CN"/>
        </w:rPr>
        <w:t>15.9%</w:t>
      </w:r>
      <w:r>
        <w:rPr>
          <w:rFonts w:hint="eastAsia" w:ascii="仿宋_GB2312" w:hAnsi="仿宋_GB2312" w:eastAsia="仿宋_GB2312" w:cs="仿宋_GB2312"/>
          <w:color w:val="auto"/>
          <w:spacing w:val="-6"/>
          <w:kern w:val="2"/>
          <w:sz w:val="32"/>
          <w:szCs w:val="32"/>
          <w:highlight w:val="none"/>
          <w:u w:val="none"/>
          <w:lang w:val="en-US" w:eastAsia="zh-CN" w:bidi="ar-SA"/>
        </w:rPr>
        <w:t>。</w:t>
      </w:r>
      <w:r>
        <w:rPr>
          <w:rFonts w:hint="eastAsia" w:ascii="仿宋_GB2312" w:hAnsi="仿宋_GB2312" w:eastAsia="仿宋_GB2312" w:cs="仿宋_GB2312"/>
          <w:color w:val="0C0C0C"/>
          <w:spacing w:val="-6"/>
          <w:kern w:val="2"/>
          <w:sz w:val="32"/>
          <w:szCs w:val="32"/>
          <w:highlight w:val="none"/>
          <w:u w:val="none"/>
          <w:lang w:val="en-US" w:eastAsia="zh-CN" w:bidi="ar-SA"/>
        </w:rPr>
        <w:t>其中，企业法人单位</w:t>
      </w:r>
      <w:r>
        <w:rPr>
          <w:rFonts w:hint="eastAsia" w:ascii="仿宋_GB2312" w:hAnsi="仿宋_GB2312" w:eastAsia="仿宋_GB2312" w:cs="仿宋_GB2312"/>
          <w:i w:val="0"/>
          <w:caps w:val="0"/>
          <w:color w:val="0C0C0C"/>
          <w:spacing w:val="0"/>
          <w:kern w:val="0"/>
          <w:sz w:val="32"/>
          <w:szCs w:val="32"/>
          <w:highlight w:val="none"/>
          <w:vertAlign w:val="superscript"/>
          <w:lang w:val="en-US" w:eastAsia="zh-CN" w:bidi="ar"/>
        </w:rPr>
        <w:footnoteReference w:id="0"/>
      </w:r>
      <w:r>
        <w:rPr>
          <w:rFonts w:hint="eastAsia" w:ascii="仿宋_GB2312" w:hAnsi="仿宋_GB2312" w:eastAsia="仿宋_GB2312" w:cs="仿宋_GB2312"/>
          <w:color w:val="0C0C0C"/>
          <w:spacing w:val="-6"/>
          <w:kern w:val="2"/>
          <w:sz w:val="32"/>
          <w:szCs w:val="32"/>
          <w:highlight w:val="none"/>
          <w:u w:val="none"/>
          <w:lang w:val="en-US" w:eastAsia="zh-CN" w:bidi="ar-SA"/>
        </w:rPr>
        <w:t>1564个，从业人员</w:t>
      </w:r>
      <w:r>
        <w:rPr>
          <w:rFonts w:hint="eastAsia" w:ascii="仿宋_GB2312" w:hAnsi="仿宋_GB2312" w:eastAsia="仿宋_GB2312" w:cs="仿宋_GB2312"/>
          <w:color w:val="0C0C0C"/>
          <w:sz w:val="32"/>
          <w:szCs w:val="32"/>
          <w:highlight w:val="none"/>
          <w:u w:val="none"/>
          <w:lang w:val="en-US" w:eastAsia="zh-CN"/>
        </w:rPr>
        <w:t>1.02</w:t>
      </w:r>
      <w:r>
        <w:rPr>
          <w:rFonts w:hint="eastAsia" w:ascii="仿宋_GB2312" w:hAnsi="仿宋_GB2312" w:eastAsia="仿宋_GB2312" w:cs="仿宋_GB2312"/>
          <w:color w:val="0C0C0C"/>
          <w:spacing w:val="-6"/>
          <w:kern w:val="2"/>
          <w:sz w:val="32"/>
          <w:szCs w:val="32"/>
          <w:highlight w:val="none"/>
          <w:u w:val="none"/>
          <w:lang w:val="en-US" w:eastAsia="zh-CN" w:bidi="ar-SA"/>
        </w:rPr>
        <w:t>万人，</w:t>
      </w:r>
      <w:r>
        <w:rPr>
          <w:rFonts w:hint="eastAsia" w:ascii="仿宋_GB2312" w:hAnsi="仿宋_GB2312" w:eastAsia="仿宋_GB2312" w:cs="仿宋_GB2312"/>
          <w:color w:val="auto"/>
          <w:spacing w:val="-6"/>
          <w:kern w:val="2"/>
          <w:sz w:val="32"/>
          <w:szCs w:val="32"/>
          <w:highlight w:val="none"/>
          <w:u w:val="none"/>
          <w:lang w:val="en-US" w:eastAsia="zh-CN" w:bidi="ar-SA"/>
        </w:rPr>
        <w:t>分别比2018年末增长</w:t>
      </w:r>
      <w:r>
        <w:rPr>
          <w:rFonts w:hint="eastAsia" w:ascii="仿宋_GB2312" w:hAnsi="仿宋_GB2312" w:eastAsia="仿宋_GB2312" w:cs="仿宋_GB2312"/>
          <w:color w:val="auto"/>
          <w:sz w:val="32"/>
          <w:szCs w:val="32"/>
          <w:highlight w:val="none"/>
          <w:u w:val="none"/>
          <w:lang w:val="en-US" w:eastAsia="zh-CN"/>
        </w:rPr>
        <w:t>76.5%</w:t>
      </w:r>
      <w:r>
        <w:rPr>
          <w:rFonts w:hint="eastAsia" w:ascii="仿宋_GB2312" w:hAnsi="仿宋_GB2312" w:eastAsia="仿宋_GB2312" w:cs="仿宋_GB2312"/>
          <w:color w:val="auto"/>
          <w:spacing w:val="-6"/>
          <w:kern w:val="2"/>
          <w:sz w:val="32"/>
          <w:szCs w:val="32"/>
          <w:highlight w:val="none"/>
          <w:u w:val="none"/>
          <w:lang w:val="en-US" w:eastAsia="zh-CN" w:bidi="ar-SA"/>
        </w:rPr>
        <w:t>和</w:t>
      </w:r>
      <w:r>
        <w:rPr>
          <w:rFonts w:hint="eastAsia" w:ascii="仿宋_GB2312" w:hAnsi="仿宋_GB2312" w:eastAsia="仿宋_GB2312" w:cs="仿宋_GB2312"/>
          <w:color w:val="auto"/>
          <w:sz w:val="32"/>
          <w:szCs w:val="32"/>
          <w:highlight w:val="none"/>
          <w:u w:val="none"/>
          <w:lang w:val="en-US" w:eastAsia="zh-CN"/>
        </w:rPr>
        <w:t>16.5%</w:t>
      </w:r>
      <w:r>
        <w:rPr>
          <w:rFonts w:hint="eastAsia" w:ascii="仿宋_GB2312" w:hAnsi="仿宋_GB2312" w:eastAsia="仿宋_GB2312" w:cs="仿宋_GB2312"/>
          <w:color w:val="0C0C0C"/>
          <w:spacing w:val="-6"/>
          <w:kern w:val="2"/>
          <w:sz w:val="32"/>
          <w:szCs w:val="32"/>
          <w:highlight w:val="none"/>
          <w:u w:val="none"/>
          <w:lang w:val="en-US" w:eastAsia="zh-CN" w:bidi="ar-SA"/>
        </w:rPr>
        <w:t>（详见表5-1）。</w:t>
      </w:r>
    </w:p>
    <w:p>
      <w:pPr>
        <w:pStyle w:val="2"/>
        <w:rPr>
          <w:rFonts w:hint="eastAsia" w:ascii="仿宋_GB2312" w:hAnsi="仿宋_GB2312" w:eastAsia="仿宋_GB2312" w:cs="仿宋_GB2312"/>
          <w:color w:val="0C0C0C"/>
          <w:spacing w:val="-6"/>
          <w:kern w:val="2"/>
          <w:sz w:val="32"/>
          <w:szCs w:val="32"/>
          <w:u w:val="none"/>
          <w:lang w:val="en-US" w:eastAsia="zh-CN" w:bidi="ar-SA"/>
        </w:rPr>
      </w:pPr>
    </w:p>
    <w:p>
      <w:pPr>
        <w:pStyle w:val="3"/>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176" w:afterLines="30" w:afterAutospacing="0" w:line="6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宋体" w:hAnsi="宋体" w:eastAsia="宋体" w:cs="宋体"/>
          <w:b/>
          <w:i w:val="0"/>
          <w:caps w:val="0"/>
          <w:color w:val="0C0C0C"/>
          <w:spacing w:val="0"/>
          <w:kern w:val="0"/>
          <w:sz w:val="24"/>
          <w:szCs w:val="24"/>
          <w:highlight w:val="none"/>
          <w:lang w:val="en-US" w:eastAsia="zh-CN" w:bidi="ar"/>
        </w:rPr>
        <w:t>表5-1</w:t>
      </w:r>
      <w:r>
        <w:rPr>
          <w:rFonts w:hint="eastAsia" w:ascii="Times New Roman" w:hAnsi="Times New Roman" w:eastAsia="宋体" w:cs="宋体"/>
          <w:b/>
          <w:i w:val="0"/>
          <w:caps w:val="0"/>
          <w:color w:val="0C0C0C"/>
          <w:spacing w:val="0"/>
          <w:kern w:val="0"/>
          <w:sz w:val="24"/>
          <w:szCs w:val="24"/>
          <w:highlight w:val="none"/>
          <w:lang w:val="en-US" w:eastAsia="zh-CN" w:bidi="ar"/>
        </w:rPr>
        <w:t>　按行业大类分组的科学研究和技术服务业企业法人单位数和从业人员</w:t>
      </w:r>
    </w:p>
    <w:tbl>
      <w:tblPr>
        <w:tblStyle w:val="10"/>
        <w:tblW w:w="873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057"/>
        <w:gridCol w:w="3108"/>
        <w:gridCol w:w="256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057"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Times New Roman" w:hAnsi="Times New Roman" w:eastAsia="宋体" w:cs="宋体"/>
                <w:color w:val="0C0C0C"/>
                <w:sz w:val="21"/>
                <w:szCs w:val="21"/>
                <w:highlight w:val="none"/>
              </w:rPr>
            </w:pPr>
          </w:p>
        </w:tc>
        <w:tc>
          <w:tcPr>
            <w:tcW w:w="310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567"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3108"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1564</w:t>
            </w:r>
          </w:p>
        </w:tc>
        <w:tc>
          <w:tcPr>
            <w:tcW w:w="2567"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1.02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lef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研究和试验发展</w:t>
            </w:r>
          </w:p>
        </w:tc>
        <w:tc>
          <w:tcPr>
            <w:tcW w:w="3108"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278</w:t>
            </w:r>
          </w:p>
        </w:tc>
        <w:tc>
          <w:tcPr>
            <w:tcW w:w="2567"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0.19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lef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专业技术服务业</w:t>
            </w:r>
          </w:p>
        </w:tc>
        <w:tc>
          <w:tcPr>
            <w:tcW w:w="3108"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508</w:t>
            </w:r>
          </w:p>
        </w:tc>
        <w:tc>
          <w:tcPr>
            <w:tcW w:w="2567"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0.50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lef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科技推广和应用服务业</w:t>
            </w:r>
          </w:p>
        </w:tc>
        <w:tc>
          <w:tcPr>
            <w:tcW w:w="3108"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778</w:t>
            </w:r>
          </w:p>
        </w:tc>
        <w:tc>
          <w:tcPr>
            <w:tcW w:w="2567" w:type="dxa"/>
            <w:tcBorders>
              <w:top w:val="nil"/>
              <w:left w:val="single" w:color="auto" w:sz="4" w:space="0"/>
              <w:bottom w:val="single" w:color="auto" w:sz="12" w:space="0"/>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0.34</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Autospacing="0" w:line="580" w:lineRule="exact"/>
        <w:ind w:left="0" w:right="0" w:firstLine="0" w:firstLineChars="0"/>
        <w:jc w:val="both"/>
        <w:textAlignment w:val="auto"/>
        <w:rPr>
          <w:rFonts w:hint="eastAsia" w:ascii="仿宋_GB2312" w:hAnsi="仿宋_GB2312" w:eastAsia="仿宋_GB2312" w:cs="仿宋_GB2312"/>
          <w:color w:val="0C0C0C"/>
          <w:spacing w:val="-6"/>
          <w:kern w:val="2"/>
          <w:sz w:val="32"/>
          <w:szCs w:val="32"/>
          <w:highlight w:val="none"/>
          <w:u w:val="none"/>
          <w:lang w:val="en-US" w:eastAsia="zh-CN" w:bidi="ar-SA"/>
        </w:rPr>
      </w:pPr>
      <w:r>
        <w:rPr>
          <w:rFonts w:hint="eastAsia" w:ascii="Times New Roman" w:hAnsi="Times New Roman" w:cs="Times New Roman"/>
          <w:color w:val="0C0C0C"/>
          <w:spacing w:val="-6"/>
          <w:kern w:val="2"/>
          <w:sz w:val="36"/>
          <w:szCs w:val="36"/>
          <w:u w:val="none"/>
          <w:lang w:val="en-US" w:eastAsia="zh-CN" w:bidi="ar-SA"/>
        </w:rPr>
        <w:t xml:space="preserve">  </w:t>
      </w:r>
      <w:r>
        <w:rPr>
          <w:rFonts w:hint="eastAsia" w:ascii="Times New Roman" w:hAnsi="Times New Roman" w:cs="Times New Roman"/>
          <w:color w:val="0C0C0C"/>
          <w:spacing w:val="-6"/>
          <w:kern w:val="2"/>
          <w:sz w:val="36"/>
          <w:szCs w:val="36"/>
          <w:highlight w:val="none"/>
          <w:u w:val="none"/>
          <w:lang w:val="en-US" w:eastAsia="zh-CN" w:bidi="ar-SA"/>
        </w:rPr>
        <w:t xml:space="preserve"> </w:t>
      </w:r>
      <w:r>
        <w:rPr>
          <w:rFonts w:hint="eastAsia" w:ascii="Times New Roman" w:hAnsi="Times New Roman" w:cs="Times New Roman"/>
          <w:color w:val="0C0C0C"/>
          <w:spacing w:val="-6"/>
          <w:kern w:val="2"/>
          <w:sz w:val="32"/>
          <w:szCs w:val="32"/>
          <w:highlight w:val="none"/>
          <w:u w:val="none"/>
          <w:lang w:val="en-US" w:eastAsia="zh-CN" w:bidi="ar-SA"/>
        </w:rPr>
        <w:t xml:space="preserve"> </w:t>
      </w:r>
      <w:r>
        <w:rPr>
          <w:rFonts w:hint="eastAsia" w:ascii="仿宋_GB2312" w:hAnsi="仿宋_GB2312" w:eastAsia="仿宋_GB2312" w:cs="仿宋_GB2312"/>
          <w:color w:val="0C0C0C"/>
          <w:spacing w:val="-6"/>
          <w:kern w:val="2"/>
          <w:sz w:val="32"/>
          <w:szCs w:val="32"/>
          <w:highlight w:val="none"/>
          <w:u w:val="none"/>
          <w:lang w:val="en-US" w:eastAsia="zh-CN" w:bidi="ar-SA"/>
        </w:rPr>
        <w:t>在科学研究和技术服务业企业法人单位中，内资企业占</w:t>
      </w:r>
      <w:r>
        <w:rPr>
          <w:rFonts w:hint="eastAsia" w:ascii="仿宋_GB2312" w:hAnsi="仿宋_GB2312" w:eastAsia="仿宋_GB2312" w:cs="仿宋_GB2312"/>
          <w:color w:val="0C0C0C"/>
          <w:sz w:val="32"/>
          <w:szCs w:val="32"/>
          <w:highlight w:val="none"/>
          <w:u w:val="none"/>
          <w:lang w:val="en-US" w:eastAsia="zh-CN"/>
        </w:rPr>
        <w:t>97.3</w:t>
      </w:r>
      <w:r>
        <w:rPr>
          <w:rFonts w:hint="eastAsia" w:ascii="仿宋_GB2312" w:hAnsi="仿宋_GB2312" w:eastAsia="仿宋_GB2312" w:cs="仿宋_GB2312"/>
          <w:color w:val="0C0C0C"/>
          <w:spacing w:val="-6"/>
          <w:kern w:val="2"/>
          <w:sz w:val="32"/>
          <w:szCs w:val="32"/>
          <w:highlight w:val="none"/>
          <w:u w:val="none"/>
          <w:lang w:val="en-US" w:eastAsia="zh-CN" w:bidi="ar-SA"/>
        </w:rPr>
        <w:t>%，港澳台投资企业占1.5%，外商投资企业占</w:t>
      </w:r>
      <w:r>
        <w:rPr>
          <w:rFonts w:hint="eastAsia" w:ascii="仿宋_GB2312" w:hAnsi="仿宋_GB2312" w:eastAsia="仿宋_GB2312" w:cs="仿宋_GB2312"/>
          <w:color w:val="0C0C0C"/>
          <w:sz w:val="32"/>
          <w:szCs w:val="32"/>
          <w:highlight w:val="none"/>
          <w:u w:val="none"/>
          <w:lang w:val="en-US" w:eastAsia="zh-CN"/>
        </w:rPr>
        <w:t>1.2%</w:t>
      </w:r>
      <w:r>
        <w:rPr>
          <w:rFonts w:hint="eastAsia" w:ascii="仿宋_GB2312" w:hAnsi="仿宋_GB2312" w:eastAsia="仿宋_GB2312" w:cs="仿宋_GB2312"/>
          <w:color w:val="0C0C0C"/>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Autospacing="0" w:line="580" w:lineRule="exact"/>
        <w:ind w:left="0" w:right="0" w:firstLine="0" w:firstLineChars="0"/>
        <w:jc w:val="both"/>
        <w:textAlignment w:val="auto"/>
        <w:rPr>
          <w:rFonts w:hint="eastAsia" w:ascii="仿宋_GB2312" w:hAnsi="仿宋_GB2312" w:eastAsia="仿宋_GB2312" w:cs="仿宋_GB2312"/>
          <w:color w:val="0C0C0C"/>
          <w:spacing w:val="-6"/>
          <w:kern w:val="2"/>
          <w:sz w:val="32"/>
          <w:szCs w:val="32"/>
          <w:highlight w:val="none"/>
          <w:u w:val="none"/>
          <w:lang w:val="en-US" w:eastAsia="zh-CN" w:bidi="ar-SA"/>
        </w:rPr>
      </w:pPr>
      <w:r>
        <w:rPr>
          <w:rFonts w:hint="eastAsia" w:ascii="仿宋_GB2312" w:hAnsi="仿宋_GB2312" w:eastAsia="仿宋_GB2312" w:cs="仿宋_GB2312"/>
          <w:color w:val="0C0C0C"/>
          <w:spacing w:val="-6"/>
          <w:kern w:val="2"/>
          <w:sz w:val="32"/>
          <w:szCs w:val="32"/>
          <w:highlight w:val="none"/>
          <w:u w:val="none"/>
          <w:lang w:val="en-US" w:eastAsia="zh-CN" w:bidi="ar-SA"/>
        </w:rPr>
        <w:t xml:space="preserve">    在科学研究和技术服务业企业法人单位从业人员中，内资企业占97.0%，港澳台投资企业占</w:t>
      </w:r>
      <w:r>
        <w:rPr>
          <w:rFonts w:hint="eastAsia" w:ascii="仿宋_GB2312" w:hAnsi="仿宋_GB2312" w:eastAsia="仿宋_GB2312" w:cs="仿宋_GB2312"/>
          <w:color w:val="0C0C0C"/>
          <w:sz w:val="32"/>
          <w:szCs w:val="32"/>
          <w:highlight w:val="none"/>
          <w:u w:val="none"/>
          <w:lang w:val="en-US" w:eastAsia="zh-CN"/>
        </w:rPr>
        <w:t>2.0%</w:t>
      </w:r>
      <w:r>
        <w:rPr>
          <w:rFonts w:hint="eastAsia" w:ascii="仿宋_GB2312" w:hAnsi="仿宋_GB2312" w:eastAsia="仿宋_GB2312" w:cs="仿宋_GB2312"/>
          <w:color w:val="0C0C0C"/>
          <w:spacing w:val="-6"/>
          <w:kern w:val="2"/>
          <w:sz w:val="32"/>
          <w:szCs w:val="32"/>
          <w:highlight w:val="none"/>
          <w:u w:val="none"/>
          <w:lang w:val="en-US" w:eastAsia="zh-CN" w:bidi="ar-SA"/>
        </w:rPr>
        <w:t>，外商投资企业占</w:t>
      </w:r>
      <w:r>
        <w:rPr>
          <w:rFonts w:hint="eastAsia" w:ascii="仿宋_GB2312" w:hAnsi="仿宋_GB2312" w:eastAsia="仿宋_GB2312" w:cs="仿宋_GB2312"/>
          <w:color w:val="0C0C0C"/>
          <w:sz w:val="32"/>
          <w:szCs w:val="32"/>
          <w:highlight w:val="none"/>
          <w:u w:val="none"/>
          <w:lang w:val="en-US" w:eastAsia="zh-CN"/>
        </w:rPr>
        <w:t>2.0%</w:t>
      </w:r>
      <w:r>
        <w:rPr>
          <w:rFonts w:hint="eastAsia" w:ascii="仿宋_GB2312" w:hAnsi="仿宋_GB2312" w:eastAsia="仿宋_GB2312" w:cs="仿宋_GB2312"/>
          <w:color w:val="0C0C0C"/>
          <w:spacing w:val="-6"/>
          <w:kern w:val="2"/>
          <w:sz w:val="32"/>
          <w:szCs w:val="32"/>
          <w:highlight w:val="none"/>
          <w:u w:val="none"/>
          <w:lang w:val="en-US" w:eastAsia="zh-CN" w:bidi="ar-SA"/>
        </w:rPr>
        <w:t>（详见表5-2）。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176" w:afterLines="30" w:afterAutospacing="0" w:line="600" w:lineRule="exact"/>
        <w:ind w:left="0" w:right="0" w:firstLine="0" w:firstLineChars="0"/>
        <w:jc w:val="center"/>
        <w:textAlignment w:val="auto"/>
        <w:rPr>
          <w:rFonts w:hint="eastAsia" w:ascii="宋体" w:hAnsi="宋体" w:eastAsia="宋体" w:cs="宋体"/>
          <w:b/>
          <w:i w:val="0"/>
          <w:caps w:val="0"/>
          <w:color w:val="0C0C0C"/>
          <w:spacing w:val="-6"/>
          <w:kern w:val="0"/>
          <w:sz w:val="24"/>
          <w:szCs w:val="24"/>
          <w:highlight w:val="none"/>
          <w:lang w:val="en-US" w:eastAsia="zh-CN" w:bidi="ar"/>
        </w:rPr>
      </w:pPr>
      <w:r>
        <w:rPr>
          <w:rFonts w:hint="eastAsia" w:ascii="宋体" w:hAnsi="宋体" w:eastAsia="宋体" w:cs="宋体"/>
          <w:b/>
          <w:i w:val="0"/>
          <w:caps w:val="0"/>
          <w:color w:val="0C0C0C"/>
          <w:spacing w:val="0"/>
          <w:kern w:val="0"/>
          <w:sz w:val="24"/>
          <w:szCs w:val="24"/>
          <w:highlight w:val="none"/>
          <w:lang w:val="en-US" w:eastAsia="zh-CN" w:bidi="ar"/>
        </w:rPr>
        <w:t>表5-2　</w:t>
      </w:r>
      <w:r>
        <w:rPr>
          <w:rFonts w:hint="eastAsia" w:ascii="宋体" w:hAnsi="宋体" w:eastAsia="宋体" w:cs="宋体"/>
          <w:b/>
          <w:i w:val="0"/>
          <w:caps w:val="0"/>
          <w:color w:val="0C0C0C"/>
          <w:spacing w:val="-6"/>
          <w:kern w:val="0"/>
          <w:sz w:val="24"/>
          <w:szCs w:val="24"/>
          <w:highlight w:val="none"/>
          <w:lang w:val="en-US" w:eastAsia="zh-CN" w:bidi="ar"/>
        </w:rPr>
        <w:t>按登记注册统计类别分组的科学研究和技术服务业企业法人单位数和从业人员</w:t>
      </w:r>
    </w:p>
    <w:tbl>
      <w:tblPr>
        <w:tblStyle w:val="10"/>
        <w:tblW w:w="884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414"/>
        <w:gridCol w:w="2989"/>
        <w:gridCol w:w="243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414"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left="0" w:right="0" w:firstLine="0" w:firstLineChars="0"/>
              <w:jc w:val="center"/>
              <w:textAlignment w:val="auto"/>
              <w:rPr>
                <w:rFonts w:hint="eastAsia" w:ascii="Times New Roman" w:hAnsi="Times New Roman" w:eastAsia="宋体" w:cs="宋体"/>
                <w:color w:val="0C0C0C"/>
                <w:sz w:val="21"/>
                <w:szCs w:val="21"/>
                <w:highlight w:val="none"/>
              </w:rPr>
            </w:pPr>
          </w:p>
        </w:tc>
        <w:tc>
          <w:tcPr>
            <w:tcW w:w="2989"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left="0" w:right="0"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437"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left="0" w:right="0"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414"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2989"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1564</w:t>
            </w:r>
          </w:p>
        </w:tc>
        <w:tc>
          <w:tcPr>
            <w:tcW w:w="2437"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1.02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41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298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1522</w:t>
            </w:r>
          </w:p>
        </w:tc>
        <w:tc>
          <w:tcPr>
            <w:tcW w:w="2437"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0.99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41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 w:eastAsia="zh-CN" w:bidi="ar"/>
              </w:rPr>
              <w:t>港澳台</w:t>
            </w:r>
            <w:r>
              <w:rPr>
                <w:rFonts w:hint="eastAsia" w:ascii="Times New Roman" w:hAnsi="Times New Roman" w:eastAsia="宋体" w:cs="宋体"/>
                <w:b w:val="0"/>
                <w:bCs/>
                <w:color w:val="0C0C0C"/>
                <w:kern w:val="0"/>
                <w:sz w:val="21"/>
                <w:szCs w:val="21"/>
                <w:highlight w:val="none"/>
                <w:lang w:val="en-US" w:eastAsia="zh-CN" w:bidi="ar"/>
              </w:rPr>
              <w:t>投资企业</w:t>
            </w:r>
          </w:p>
        </w:tc>
        <w:tc>
          <w:tcPr>
            <w:tcW w:w="298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23</w:t>
            </w:r>
          </w:p>
        </w:tc>
        <w:tc>
          <w:tcPr>
            <w:tcW w:w="2437"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0.02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414"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2989"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rightChars="0" w:firstLine="0" w:firstLineChars="0"/>
              <w:jc w:val="center"/>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19</w:t>
            </w:r>
          </w:p>
        </w:tc>
        <w:tc>
          <w:tcPr>
            <w:tcW w:w="2437" w:type="dxa"/>
            <w:tcBorders>
              <w:top w:val="nil"/>
              <w:left w:val="single" w:color="auto" w:sz="4" w:space="0"/>
              <w:bottom w:val="single" w:color="auto" w:sz="12"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rightChars="0" w:firstLine="0" w:firstLineChars="0"/>
              <w:jc w:val="center"/>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0.02</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0" w:firstLineChars="0"/>
        <w:jc w:val="both"/>
        <w:textAlignment w:val="auto"/>
        <w:rPr>
          <w:rFonts w:hint="eastAsia" w:ascii="仿宋_GB2312" w:hAnsi="仿宋_GB2312" w:eastAsia="仿宋_GB2312" w:cs="仿宋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6"/>
          <w:szCs w:val="36"/>
          <w:highlight w:val="none"/>
          <w:lang w:val="en-US" w:eastAsia="zh-CN" w:bidi="ar"/>
        </w:rPr>
        <w:t xml:space="preserve">    </w:t>
      </w:r>
      <w:r>
        <w:rPr>
          <w:rFonts w:hint="eastAsia" w:ascii="楷体_GB2312" w:hAnsi="楷体_GB2312" w:eastAsia="楷体_GB2312" w:cs="楷体_GB2312"/>
          <w:i w:val="0"/>
          <w:caps w:val="0"/>
          <w:color w:val="0C0C0C"/>
          <w:spacing w:val="0"/>
          <w:kern w:val="0"/>
          <w:sz w:val="32"/>
          <w:szCs w:val="32"/>
          <w:highlight w:val="none"/>
          <w:lang w:val="en-US" w:eastAsia="zh-CN" w:bidi="ar"/>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firstLine="0" w:firstLineChars="0"/>
        <w:jc w:val="both"/>
        <w:textAlignment w:val="auto"/>
        <w:rPr>
          <w:rFonts w:hint="eastAsia" w:ascii="仿宋_GB2312" w:hAnsi="仿宋_GB2312" w:eastAsia="仿宋_GB2312" w:cs="仿宋_GB2312"/>
          <w:color w:val="0C0C0C"/>
          <w:spacing w:val="-6"/>
          <w:kern w:val="2"/>
          <w:sz w:val="32"/>
          <w:szCs w:val="32"/>
          <w:highlight w:val="none"/>
          <w:u w:val="none"/>
          <w:lang w:val="en-US" w:eastAsia="zh-CN" w:bidi="ar-SA"/>
        </w:rPr>
      </w:pPr>
      <w:r>
        <w:rPr>
          <w:rFonts w:hint="eastAsia" w:ascii="仿宋_GB2312" w:hAnsi="仿宋_GB2312" w:eastAsia="仿宋_GB2312" w:cs="仿宋_GB2312"/>
          <w:color w:val="0C0C0C"/>
          <w:spacing w:val="-6"/>
          <w:kern w:val="2"/>
          <w:sz w:val="32"/>
          <w:szCs w:val="32"/>
          <w:u w:val="none"/>
          <w:lang w:val="en-US" w:eastAsia="zh-CN" w:bidi="ar-SA"/>
        </w:rPr>
        <w:t xml:space="preserve">   </w:t>
      </w:r>
      <w:r>
        <w:rPr>
          <w:rFonts w:hint="eastAsia" w:ascii="仿宋_GB2312" w:hAnsi="仿宋_GB2312" w:eastAsia="仿宋_GB2312" w:cs="仿宋_GB2312"/>
          <w:color w:val="0C0C0C"/>
          <w:spacing w:val="-6"/>
          <w:kern w:val="2"/>
          <w:sz w:val="32"/>
          <w:szCs w:val="32"/>
          <w:highlight w:val="none"/>
          <w:u w:val="none"/>
          <w:lang w:val="en-US" w:eastAsia="zh-CN" w:bidi="ar-SA"/>
        </w:rPr>
        <w:t>2023年末，科学研究和技术服务业企业法人单位资产总计</w:t>
      </w:r>
      <w:r>
        <w:rPr>
          <w:rFonts w:hint="eastAsia" w:ascii="仿宋_GB2312" w:hAnsi="仿宋_GB2312" w:eastAsia="仿宋_GB2312" w:cs="仿宋_GB2312"/>
          <w:color w:val="0C0C0C"/>
          <w:sz w:val="32"/>
          <w:szCs w:val="32"/>
          <w:highlight w:val="none"/>
          <w:u w:val="none"/>
          <w:lang w:val="en-US" w:eastAsia="zh-CN"/>
        </w:rPr>
        <w:t>55.11</w:t>
      </w:r>
      <w:r>
        <w:rPr>
          <w:rFonts w:hint="eastAsia" w:ascii="仿宋_GB2312" w:hAnsi="仿宋_GB2312" w:eastAsia="仿宋_GB2312" w:cs="仿宋_GB2312"/>
          <w:color w:val="0C0C0C"/>
          <w:spacing w:val="-6"/>
          <w:kern w:val="2"/>
          <w:sz w:val="32"/>
          <w:szCs w:val="32"/>
          <w:highlight w:val="none"/>
          <w:u w:val="none"/>
          <w:lang w:val="en-US" w:eastAsia="zh-CN" w:bidi="ar-SA"/>
        </w:rPr>
        <w:t>亿元，比2018年末下降</w:t>
      </w:r>
      <w:r>
        <w:rPr>
          <w:rFonts w:hint="eastAsia" w:ascii="仿宋_GB2312" w:hAnsi="仿宋_GB2312" w:eastAsia="仿宋_GB2312" w:cs="仿宋_GB2312"/>
          <w:color w:val="auto"/>
          <w:kern w:val="2"/>
          <w:sz w:val="30"/>
          <w:szCs w:val="30"/>
          <w:highlight w:val="none"/>
          <w:lang w:val="en-US" w:eastAsia="zh-CN" w:bidi="ar-SA"/>
        </w:rPr>
        <w:t>1.0%</w:t>
      </w:r>
      <w:r>
        <w:rPr>
          <w:rFonts w:hint="eastAsia" w:ascii="仿宋_GB2312" w:hAnsi="仿宋_GB2312" w:eastAsia="仿宋_GB2312" w:cs="仿宋_GB2312"/>
          <w:color w:val="0C0C0C"/>
          <w:spacing w:val="-6"/>
          <w:kern w:val="2"/>
          <w:sz w:val="32"/>
          <w:szCs w:val="32"/>
          <w:highlight w:val="none"/>
          <w:u w:val="none"/>
          <w:lang w:val="en-US" w:eastAsia="zh-CN" w:bidi="ar-SA"/>
        </w:rPr>
        <w:t>；负债合计</w:t>
      </w:r>
      <w:r>
        <w:rPr>
          <w:rFonts w:hint="eastAsia" w:ascii="仿宋_GB2312" w:hAnsi="仿宋_GB2312" w:eastAsia="仿宋_GB2312" w:cs="仿宋_GB2312"/>
          <w:color w:val="auto"/>
          <w:kern w:val="2"/>
          <w:sz w:val="30"/>
          <w:szCs w:val="30"/>
          <w:highlight w:val="none"/>
          <w:lang w:val="en-US" w:eastAsia="zh-CN" w:bidi="ar-SA"/>
        </w:rPr>
        <w:t>26.10</w:t>
      </w:r>
      <w:r>
        <w:rPr>
          <w:rFonts w:hint="eastAsia" w:ascii="仿宋_GB2312" w:hAnsi="仿宋_GB2312" w:eastAsia="仿宋_GB2312" w:cs="仿宋_GB2312"/>
          <w:color w:val="0C0C0C"/>
          <w:spacing w:val="-6"/>
          <w:kern w:val="2"/>
          <w:sz w:val="32"/>
          <w:szCs w:val="32"/>
          <w:highlight w:val="none"/>
          <w:u w:val="none"/>
          <w:lang w:val="en-US" w:eastAsia="zh-CN" w:bidi="ar-SA"/>
        </w:rPr>
        <w:t>亿元，比2018年末下降</w:t>
      </w:r>
      <w:r>
        <w:rPr>
          <w:rFonts w:hint="eastAsia" w:ascii="仿宋_GB2312" w:hAnsi="仿宋_GB2312" w:eastAsia="仿宋_GB2312" w:cs="仿宋_GB2312"/>
          <w:color w:val="auto"/>
          <w:kern w:val="2"/>
          <w:sz w:val="30"/>
          <w:szCs w:val="30"/>
          <w:highlight w:val="none"/>
          <w:lang w:val="en-US" w:eastAsia="zh-CN" w:bidi="ar-SA"/>
        </w:rPr>
        <w:t>11.1%</w:t>
      </w:r>
      <w:r>
        <w:rPr>
          <w:rFonts w:hint="eastAsia" w:ascii="仿宋_GB2312" w:hAnsi="仿宋_GB2312" w:eastAsia="仿宋_GB2312" w:cs="仿宋_GB2312"/>
          <w:color w:val="0C0C0C"/>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firstLine="0" w:firstLineChars="0"/>
        <w:jc w:val="both"/>
        <w:textAlignment w:val="auto"/>
        <w:rPr>
          <w:rFonts w:hint="eastAsia" w:ascii="仿宋_GB2312" w:hAnsi="仿宋_GB2312" w:eastAsia="仿宋_GB2312" w:cs="仿宋_GB2312"/>
          <w:color w:val="0C0C0C"/>
          <w:spacing w:val="-6"/>
          <w:kern w:val="2"/>
          <w:sz w:val="32"/>
          <w:szCs w:val="32"/>
          <w:highlight w:val="none"/>
          <w:u w:val="none"/>
          <w:lang w:val="en-US" w:eastAsia="zh-CN" w:bidi="ar-SA"/>
        </w:rPr>
      </w:pPr>
      <w:r>
        <w:rPr>
          <w:rFonts w:hint="eastAsia" w:ascii="仿宋_GB2312" w:hAnsi="仿宋_GB2312" w:eastAsia="仿宋_GB2312" w:cs="仿宋_GB2312"/>
          <w:color w:val="0C0C0C"/>
          <w:spacing w:val="-6"/>
          <w:kern w:val="2"/>
          <w:sz w:val="32"/>
          <w:szCs w:val="32"/>
          <w:highlight w:val="none"/>
          <w:u w:val="none"/>
          <w:lang w:val="en-US" w:eastAsia="zh-CN" w:bidi="ar-SA"/>
        </w:rPr>
        <w:t xml:space="preserve">    2023年，科学研究和技术服务业企业法人单位全年实现营业收入</w:t>
      </w:r>
      <w:r>
        <w:rPr>
          <w:rFonts w:hint="eastAsia" w:ascii="仿宋_GB2312" w:hAnsi="仿宋_GB2312" w:eastAsia="仿宋_GB2312" w:cs="仿宋_GB2312"/>
          <w:color w:val="auto"/>
          <w:kern w:val="2"/>
          <w:sz w:val="30"/>
          <w:szCs w:val="30"/>
          <w:highlight w:val="none"/>
          <w:lang w:val="en-US" w:eastAsia="zh-CN" w:bidi="ar-SA"/>
        </w:rPr>
        <w:t>34.17</w:t>
      </w:r>
      <w:r>
        <w:rPr>
          <w:rFonts w:hint="eastAsia" w:ascii="仿宋_GB2312" w:hAnsi="仿宋_GB2312" w:eastAsia="仿宋_GB2312" w:cs="仿宋_GB2312"/>
          <w:color w:val="0C0C0C"/>
          <w:spacing w:val="-6"/>
          <w:kern w:val="2"/>
          <w:sz w:val="32"/>
          <w:szCs w:val="32"/>
          <w:highlight w:val="none"/>
          <w:u w:val="none"/>
          <w:lang w:val="en-US" w:eastAsia="zh-CN" w:bidi="ar-SA"/>
        </w:rPr>
        <w:t>亿元，比2018年增长</w:t>
      </w:r>
      <w:r>
        <w:rPr>
          <w:rFonts w:hint="eastAsia" w:ascii="仿宋_GB2312" w:hAnsi="仿宋_GB2312" w:eastAsia="仿宋_GB2312" w:cs="仿宋_GB2312"/>
          <w:color w:val="auto"/>
          <w:kern w:val="2"/>
          <w:sz w:val="30"/>
          <w:szCs w:val="30"/>
          <w:highlight w:val="none"/>
          <w:lang w:val="en-US" w:eastAsia="zh-CN" w:bidi="ar-SA"/>
        </w:rPr>
        <w:t>70.3%</w:t>
      </w:r>
      <w:r>
        <w:rPr>
          <w:rFonts w:hint="eastAsia" w:ascii="仿宋_GB2312" w:hAnsi="仿宋_GB2312" w:eastAsia="仿宋_GB2312" w:cs="仿宋_GB2312"/>
          <w:color w:val="0C0C0C"/>
          <w:spacing w:val="-6"/>
          <w:kern w:val="2"/>
          <w:sz w:val="32"/>
          <w:szCs w:val="32"/>
          <w:highlight w:val="none"/>
          <w:u w:val="none"/>
          <w:lang w:val="en-US" w:eastAsia="zh-CN" w:bidi="ar-SA"/>
        </w:rPr>
        <w:t>（详见表5-3）。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176" w:afterLines="30" w:afterAutospacing="0" w:line="600" w:lineRule="exact"/>
        <w:ind w:left="0" w:right="0" w:firstLine="0" w:firstLineChars="0"/>
        <w:jc w:val="center"/>
        <w:textAlignment w:val="auto"/>
        <w:rPr>
          <w:rFonts w:hint="eastAsia" w:ascii="宋体" w:hAnsi="宋体" w:eastAsia="宋体" w:cs="宋体"/>
          <w:b/>
          <w:bCs w:val="0"/>
          <w:i w:val="0"/>
          <w:caps w:val="0"/>
          <w:color w:val="0C0C0C"/>
          <w:spacing w:val="0"/>
          <w:kern w:val="0"/>
          <w:sz w:val="24"/>
          <w:szCs w:val="24"/>
          <w:highlight w:val="none"/>
          <w:lang w:val="en-US" w:eastAsia="zh-CN" w:bidi="ar"/>
        </w:rPr>
      </w:pPr>
      <w:r>
        <w:rPr>
          <w:rFonts w:hint="eastAsia" w:ascii="宋体" w:hAnsi="宋体" w:eastAsia="宋体" w:cs="宋体"/>
          <w:b/>
          <w:bCs w:val="0"/>
          <w:i w:val="0"/>
          <w:caps w:val="0"/>
          <w:color w:val="0C0C0C"/>
          <w:spacing w:val="0"/>
          <w:kern w:val="0"/>
          <w:sz w:val="24"/>
          <w:szCs w:val="24"/>
          <w:highlight w:val="none"/>
          <w:lang w:val="en-US" w:eastAsia="zh-CN" w:bidi="ar"/>
        </w:rPr>
        <w:t>表5-3　按行业大类分组的科学研究和技术服务业企业法人单位主要经济指标</w:t>
      </w:r>
    </w:p>
    <w:tbl>
      <w:tblPr>
        <w:tblStyle w:val="10"/>
        <w:tblW w:w="873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041"/>
        <w:gridCol w:w="1564"/>
        <w:gridCol w:w="1564"/>
        <w:gridCol w:w="156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4041"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color w:val="0C0C0C"/>
                <w:sz w:val="21"/>
                <w:szCs w:val="21"/>
                <w:highlight w:val="none"/>
              </w:rPr>
            </w:pPr>
          </w:p>
        </w:tc>
        <w:tc>
          <w:tcPr>
            <w:tcW w:w="156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156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1563"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1564"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rightChars="0"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default" w:eastAsia="宋体" w:cs="宋体"/>
                <w:b/>
                <w:bCs w:val="0"/>
                <w:color w:val="auto"/>
                <w:kern w:val="0"/>
                <w:sz w:val="21"/>
                <w:szCs w:val="21"/>
                <w:highlight w:val="none"/>
                <w:lang w:val="en" w:eastAsia="zh-CN" w:bidi="ar"/>
              </w:rPr>
              <w:t>55.11</w:t>
            </w:r>
          </w:p>
        </w:tc>
        <w:tc>
          <w:tcPr>
            <w:tcW w:w="1564"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rightChars="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2</w:t>
            </w:r>
            <w:r>
              <w:rPr>
                <w:rFonts w:hint="default" w:eastAsia="宋体" w:cs="宋体"/>
                <w:b/>
                <w:bCs w:val="0"/>
                <w:color w:val="auto"/>
                <w:kern w:val="0"/>
                <w:sz w:val="21"/>
                <w:szCs w:val="21"/>
                <w:highlight w:val="none"/>
                <w:lang w:val="en" w:eastAsia="zh-CN" w:bidi="ar"/>
              </w:rPr>
              <w:t>6.10</w:t>
            </w:r>
          </w:p>
        </w:tc>
        <w:tc>
          <w:tcPr>
            <w:tcW w:w="1563"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rightChars="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default" w:eastAsia="宋体" w:cs="宋体"/>
                <w:b/>
                <w:bCs w:val="0"/>
                <w:color w:val="auto"/>
                <w:kern w:val="0"/>
                <w:sz w:val="21"/>
                <w:szCs w:val="21"/>
                <w:highlight w:val="none"/>
                <w:lang w:val="en" w:eastAsia="zh-CN" w:bidi="ar"/>
              </w:rPr>
              <w:t>34.17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lef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研究和试验发展</w:t>
            </w:r>
          </w:p>
        </w:tc>
        <w:tc>
          <w:tcPr>
            <w:tcW w:w="156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rightChars="0" w:firstLine="0" w:firstLineChars="0"/>
              <w:jc w:val="center"/>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w:t>
            </w:r>
            <w:r>
              <w:rPr>
                <w:rFonts w:hint="default" w:eastAsia="宋体" w:cs="宋体"/>
                <w:b w:val="0"/>
                <w:bCs/>
                <w:color w:val="auto"/>
                <w:kern w:val="0"/>
                <w:sz w:val="21"/>
                <w:szCs w:val="21"/>
                <w:highlight w:val="none"/>
                <w:lang w:val="en" w:eastAsia="zh-CN" w:bidi="ar"/>
              </w:rPr>
              <w:t>3.87</w:t>
            </w:r>
          </w:p>
        </w:tc>
        <w:tc>
          <w:tcPr>
            <w:tcW w:w="156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rightChars="0" w:firstLine="0" w:firstLineChars="0"/>
              <w:jc w:val="center"/>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6.</w:t>
            </w:r>
            <w:r>
              <w:rPr>
                <w:rFonts w:hint="default" w:eastAsia="宋体" w:cs="宋体"/>
                <w:b w:val="0"/>
                <w:bCs/>
                <w:color w:val="auto"/>
                <w:kern w:val="0"/>
                <w:sz w:val="21"/>
                <w:szCs w:val="21"/>
                <w:highlight w:val="none"/>
                <w:lang w:val="en" w:eastAsia="zh-CN" w:bidi="ar"/>
              </w:rPr>
              <w:t>34</w:t>
            </w:r>
          </w:p>
        </w:tc>
        <w:tc>
          <w:tcPr>
            <w:tcW w:w="1563"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rightChars="0" w:firstLine="0" w:firstLineChars="0"/>
              <w:jc w:val="center"/>
              <w:textAlignment w:val="auto"/>
              <w:rPr>
                <w:rFonts w:hint="eastAsia" w:ascii="Times New Roman" w:hAnsi="Times New Roman" w:eastAsia="宋体" w:cs="宋体"/>
                <w:b w:val="0"/>
                <w:bCs/>
                <w:color w:val="0C0C0C"/>
                <w:kern w:val="0"/>
                <w:sz w:val="21"/>
                <w:szCs w:val="21"/>
                <w:highlight w:val="none"/>
                <w:lang w:val="en" w:eastAsia="zh-CN" w:bidi="ar"/>
              </w:rPr>
            </w:pPr>
            <w:r>
              <w:rPr>
                <w:rFonts w:hint="default" w:eastAsia="宋体" w:cs="宋体"/>
                <w:b w:val="0"/>
                <w:bCs/>
                <w:color w:val="auto"/>
                <w:kern w:val="0"/>
                <w:sz w:val="21"/>
                <w:szCs w:val="21"/>
                <w:highlight w:val="none"/>
                <w:lang w:val="en" w:eastAsia="zh-CN" w:bidi="ar"/>
              </w:rPr>
              <w:t>6.50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lef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专业技术服务业</w:t>
            </w:r>
          </w:p>
        </w:tc>
        <w:tc>
          <w:tcPr>
            <w:tcW w:w="156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rightChars="0" w:firstLine="0" w:firstLineChars="0"/>
              <w:jc w:val="center"/>
              <w:textAlignment w:val="auto"/>
              <w:rPr>
                <w:rFonts w:hint="eastAsia" w:ascii="Times New Roman" w:hAnsi="Times New Roman" w:eastAsia="宋体" w:cs="宋体"/>
                <w:b w:val="0"/>
                <w:bCs/>
                <w:color w:val="0C0C0C"/>
                <w:kern w:val="0"/>
                <w:sz w:val="21"/>
                <w:szCs w:val="21"/>
                <w:highlight w:val="none"/>
                <w:lang w:val="en" w:eastAsia="zh-CN" w:bidi="ar"/>
              </w:rPr>
            </w:pPr>
            <w:r>
              <w:rPr>
                <w:rFonts w:hint="default" w:eastAsia="宋体" w:cs="宋体"/>
                <w:b w:val="0"/>
                <w:bCs/>
                <w:color w:val="auto"/>
                <w:kern w:val="0"/>
                <w:sz w:val="21"/>
                <w:szCs w:val="21"/>
                <w:highlight w:val="none"/>
                <w:lang w:val="en" w:eastAsia="zh-CN" w:bidi="ar"/>
              </w:rPr>
              <w:t>14.29</w:t>
            </w:r>
          </w:p>
        </w:tc>
        <w:tc>
          <w:tcPr>
            <w:tcW w:w="156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rightChars="0" w:firstLine="0" w:firstLineChars="0"/>
              <w:jc w:val="center"/>
              <w:textAlignment w:val="auto"/>
              <w:rPr>
                <w:rFonts w:hint="eastAsia" w:ascii="Times New Roman" w:hAnsi="Times New Roman" w:eastAsia="宋体" w:cs="宋体"/>
                <w:b w:val="0"/>
                <w:bCs/>
                <w:color w:val="0C0C0C"/>
                <w:kern w:val="0"/>
                <w:sz w:val="21"/>
                <w:szCs w:val="21"/>
                <w:highlight w:val="none"/>
                <w:lang w:val="en" w:eastAsia="zh-CN" w:bidi="ar"/>
              </w:rPr>
            </w:pPr>
            <w:r>
              <w:rPr>
                <w:rFonts w:hint="default" w:eastAsia="宋体" w:cs="宋体"/>
                <w:b w:val="0"/>
                <w:bCs/>
                <w:color w:val="auto"/>
                <w:kern w:val="0"/>
                <w:sz w:val="21"/>
                <w:szCs w:val="21"/>
                <w:highlight w:val="none"/>
                <w:lang w:val="en" w:eastAsia="zh-CN" w:bidi="ar"/>
              </w:rPr>
              <w:t>7.65</w:t>
            </w:r>
          </w:p>
        </w:tc>
        <w:tc>
          <w:tcPr>
            <w:tcW w:w="1563"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rightChars="0" w:firstLine="0" w:firstLineChars="0"/>
              <w:jc w:val="center"/>
              <w:textAlignment w:val="auto"/>
              <w:rPr>
                <w:rFonts w:hint="eastAsia" w:ascii="Times New Roman" w:hAnsi="Times New Roman" w:eastAsia="宋体" w:cs="宋体"/>
                <w:b w:val="0"/>
                <w:bCs/>
                <w:color w:val="0C0C0C"/>
                <w:kern w:val="0"/>
                <w:sz w:val="21"/>
                <w:szCs w:val="21"/>
                <w:highlight w:val="none"/>
                <w:lang w:val="en" w:eastAsia="zh-CN" w:bidi="ar"/>
              </w:rPr>
            </w:pPr>
            <w:r>
              <w:rPr>
                <w:rFonts w:hint="default" w:eastAsia="宋体" w:cs="宋体"/>
                <w:b w:val="0"/>
                <w:bCs/>
                <w:color w:val="auto"/>
                <w:kern w:val="0"/>
                <w:sz w:val="21"/>
                <w:szCs w:val="21"/>
                <w:highlight w:val="none"/>
                <w:lang w:val="en" w:eastAsia="zh-CN" w:bidi="ar"/>
              </w:rPr>
              <w:t>14.53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left"/>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科技推广和应用服务业</w:t>
            </w:r>
          </w:p>
        </w:tc>
        <w:tc>
          <w:tcPr>
            <w:tcW w:w="1564"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rightChars="0" w:firstLine="0" w:firstLineChars="0"/>
              <w:jc w:val="center"/>
              <w:textAlignment w:val="auto"/>
              <w:rPr>
                <w:rFonts w:hint="eastAsia" w:ascii="Times New Roman" w:hAnsi="Times New Roman" w:eastAsia="宋体" w:cs="宋体"/>
                <w:b w:val="0"/>
                <w:bCs/>
                <w:color w:val="0C0C0C"/>
                <w:kern w:val="0"/>
                <w:sz w:val="21"/>
                <w:szCs w:val="21"/>
                <w:highlight w:val="none"/>
                <w:lang w:val="en" w:eastAsia="zh-CN" w:bidi="ar"/>
              </w:rPr>
            </w:pPr>
            <w:r>
              <w:rPr>
                <w:rFonts w:hint="default" w:eastAsia="宋体" w:cs="宋体"/>
                <w:b w:val="0"/>
                <w:bCs/>
                <w:color w:val="auto"/>
                <w:kern w:val="0"/>
                <w:sz w:val="21"/>
                <w:szCs w:val="21"/>
                <w:highlight w:val="none"/>
                <w:lang w:val="en" w:eastAsia="zh-CN" w:bidi="ar"/>
              </w:rPr>
              <w:t>26.95</w:t>
            </w:r>
          </w:p>
        </w:tc>
        <w:tc>
          <w:tcPr>
            <w:tcW w:w="1564"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rightChars="0" w:firstLine="0" w:firstLineChars="0"/>
              <w:jc w:val="center"/>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w:t>
            </w:r>
            <w:r>
              <w:rPr>
                <w:rFonts w:hint="default" w:eastAsia="宋体" w:cs="宋体"/>
                <w:b w:val="0"/>
                <w:bCs/>
                <w:color w:val="auto"/>
                <w:kern w:val="0"/>
                <w:sz w:val="21"/>
                <w:szCs w:val="21"/>
                <w:highlight w:val="none"/>
                <w:lang w:val="en" w:eastAsia="zh-CN" w:bidi="ar"/>
              </w:rPr>
              <w:t>2.11</w:t>
            </w:r>
          </w:p>
        </w:tc>
        <w:tc>
          <w:tcPr>
            <w:tcW w:w="1563" w:type="dxa"/>
            <w:tcBorders>
              <w:top w:val="nil"/>
              <w:left w:val="single" w:color="auto" w:sz="4" w:space="0"/>
              <w:bottom w:val="single" w:color="auto" w:sz="12" w:space="0"/>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rightChars="0" w:firstLine="0" w:firstLineChars="0"/>
              <w:jc w:val="center"/>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w:t>
            </w:r>
            <w:r>
              <w:rPr>
                <w:rFonts w:hint="default" w:eastAsia="宋体" w:cs="宋体"/>
                <w:b w:val="0"/>
                <w:bCs/>
                <w:color w:val="auto"/>
                <w:kern w:val="0"/>
                <w:sz w:val="21"/>
                <w:szCs w:val="21"/>
                <w:highlight w:val="none"/>
                <w:lang w:val="en" w:eastAsia="zh-CN" w:bidi="ar"/>
              </w:rPr>
              <w:t>3.14</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Autospacing="0" w:line="580" w:lineRule="exact"/>
        <w:ind w:left="0" w:right="0" w:firstLine="632"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黑体" w:hAnsi="黑体" w:eastAsia="黑体" w:cs="黑体"/>
          <w:b w:val="0"/>
          <w:bCs/>
          <w:i w:val="0"/>
          <w:caps w:val="0"/>
          <w:color w:val="0C0C0C"/>
          <w:spacing w:val="0"/>
          <w:kern w:val="0"/>
          <w:sz w:val="32"/>
          <w:szCs w:val="32"/>
          <w:highlight w:val="none"/>
          <w:lang w:val="en-US" w:eastAsia="zh-CN" w:bidi="ar"/>
        </w:rPr>
        <w:t>二、水利、环境和公共设施管理业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Autospacing="0" w:line="580" w:lineRule="exact"/>
        <w:ind w:left="0" w:right="0" w:firstLine="632" w:firstLineChars="200"/>
        <w:jc w:val="both"/>
        <w:textAlignment w:val="auto"/>
        <w:rPr>
          <w:rFonts w:hint="eastAsia" w:ascii="楷体_GB2312" w:hAnsi="楷体_GB2312" w:eastAsia="楷体_GB2312" w:cs="楷体_GB2312"/>
          <w:i w:val="0"/>
          <w:caps w:val="0"/>
          <w:color w:val="auto"/>
          <w:spacing w:val="0"/>
          <w:kern w:val="0"/>
          <w:sz w:val="32"/>
          <w:szCs w:val="32"/>
          <w:highlight w:val="none"/>
          <w:lang w:val="en-US" w:eastAsia="zh-CN" w:bidi="ar"/>
        </w:rPr>
      </w:pPr>
      <w:r>
        <w:rPr>
          <w:rFonts w:hint="eastAsia" w:ascii="楷体_GB2312" w:hAnsi="楷体_GB2312" w:eastAsia="楷体_GB2312" w:cs="楷体_GB2312"/>
          <w:i w:val="0"/>
          <w:caps w:val="0"/>
          <w:color w:val="auto"/>
          <w:spacing w:val="0"/>
          <w:kern w:val="0"/>
          <w:sz w:val="32"/>
          <w:szCs w:val="32"/>
          <w:highlight w:val="none"/>
          <w:lang w:val="en-US" w:eastAsia="zh-CN" w:bidi="ar"/>
        </w:rPr>
        <w:t>（一）法人单位数和从业人员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0" w:afterAutospacing="0" w:line="580" w:lineRule="exact"/>
        <w:ind w:left="0" w:right="0" w:firstLine="608"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2023年末，全区共有水利、环境和公共设施管理业法人单位</w:t>
      </w:r>
      <w:r>
        <w:rPr>
          <w:rFonts w:hint="eastAsia" w:ascii="仿宋_GB2312" w:hAnsi="仿宋_GB2312" w:eastAsia="仿宋_GB2312" w:cs="仿宋_GB2312"/>
          <w:color w:val="auto"/>
          <w:sz w:val="32"/>
          <w:szCs w:val="32"/>
          <w:highlight w:val="none"/>
          <w:u w:val="none"/>
          <w:lang w:val="en-US" w:eastAsia="zh-CN"/>
        </w:rPr>
        <w:t>139</w:t>
      </w:r>
      <w:r>
        <w:rPr>
          <w:rFonts w:hint="eastAsia" w:ascii="仿宋_GB2312" w:hAnsi="仿宋_GB2312" w:eastAsia="仿宋_GB2312" w:cs="仿宋_GB2312"/>
          <w:color w:val="auto"/>
          <w:spacing w:val="-6"/>
          <w:kern w:val="2"/>
          <w:sz w:val="32"/>
          <w:szCs w:val="32"/>
          <w:highlight w:val="none"/>
          <w:u w:val="none"/>
          <w:lang w:val="en-US" w:eastAsia="zh-CN" w:bidi="ar-SA"/>
        </w:rPr>
        <w:t>个，从业人员</w:t>
      </w:r>
      <w:r>
        <w:rPr>
          <w:rFonts w:hint="eastAsia" w:ascii="仿宋_GB2312" w:hAnsi="仿宋_GB2312" w:eastAsia="仿宋_GB2312" w:cs="仿宋_GB2312"/>
          <w:color w:val="auto"/>
          <w:sz w:val="32"/>
          <w:szCs w:val="32"/>
          <w:highlight w:val="none"/>
          <w:u w:val="none"/>
          <w:lang w:val="en-US" w:eastAsia="zh-CN"/>
        </w:rPr>
        <w:t>0.20</w:t>
      </w:r>
      <w:r>
        <w:rPr>
          <w:rFonts w:hint="eastAsia" w:ascii="仿宋_GB2312" w:hAnsi="仿宋_GB2312" w:eastAsia="仿宋_GB2312" w:cs="仿宋_GB2312"/>
          <w:color w:val="auto"/>
          <w:spacing w:val="-6"/>
          <w:kern w:val="2"/>
          <w:sz w:val="32"/>
          <w:szCs w:val="32"/>
          <w:highlight w:val="none"/>
          <w:u w:val="none"/>
          <w:lang w:val="en-US" w:eastAsia="zh-CN" w:bidi="ar-SA"/>
        </w:rPr>
        <w:t>万人，分别比2018年末增长</w:t>
      </w:r>
      <w:r>
        <w:rPr>
          <w:rFonts w:hint="eastAsia" w:ascii="仿宋_GB2312" w:hAnsi="仿宋_GB2312" w:eastAsia="仿宋_GB2312" w:cs="仿宋_GB2312"/>
          <w:color w:val="auto"/>
          <w:sz w:val="32"/>
          <w:szCs w:val="32"/>
          <w:highlight w:val="none"/>
          <w:u w:val="none"/>
          <w:lang w:val="en-US" w:eastAsia="zh-CN"/>
        </w:rPr>
        <w:t>67.5%</w:t>
      </w:r>
      <w:r>
        <w:rPr>
          <w:rFonts w:hint="eastAsia" w:ascii="仿宋_GB2312" w:hAnsi="仿宋_GB2312" w:eastAsia="仿宋_GB2312" w:cs="仿宋_GB2312"/>
          <w:color w:val="auto"/>
          <w:spacing w:val="-6"/>
          <w:kern w:val="2"/>
          <w:sz w:val="32"/>
          <w:szCs w:val="32"/>
          <w:highlight w:val="none"/>
          <w:u w:val="none"/>
          <w:lang w:val="en-US" w:eastAsia="zh-CN" w:bidi="ar-SA"/>
        </w:rPr>
        <w:t>和</w:t>
      </w:r>
      <w:r>
        <w:rPr>
          <w:rFonts w:hint="eastAsia" w:ascii="仿宋_GB2312" w:hAnsi="仿宋_GB2312" w:eastAsia="仿宋_GB2312" w:cs="仿宋_GB2312"/>
          <w:color w:val="auto"/>
          <w:sz w:val="32"/>
          <w:szCs w:val="32"/>
          <w:highlight w:val="none"/>
          <w:u w:val="none"/>
          <w:lang w:val="en-US" w:eastAsia="zh-CN"/>
        </w:rPr>
        <w:t>93.2%</w:t>
      </w:r>
      <w:r>
        <w:rPr>
          <w:rFonts w:hint="eastAsia" w:ascii="仿宋_GB2312" w:hAnsi="仿宋_GB2312" w:eastAsia="仿宋_GB2312" w:cs="仿宋_GB2312"/>
          <w:color w:val="auto"/>
          <w:spacing w:val="-6"/>
          <w:kern w:val="2"/>
          <w:sz w:val="32"/>
          <w:szCs w:val="32"/>
          <w:highlight w:val="none"/>
          <w:u w:val="none"/>
          <w:lang w:val="en-US" w:eastAsia="zh-CN" w:bidi="ar-SA"/>
        </w:rPr>
        <w:t>。其中，行政事业及非企业法人单位</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pacing w:val="-6"/>
          <w:kern w:val="2"/>
          <w:sz w:val="32"/>
          <w:szCs w:val="32"/>
          <w:highlight w:val="none"/>
          <w:u w:val="none"/>
          <w:lang w:val="en-US" w:eastAsia="zh-CN" w:bidi="ar-SA"/>
        </w:rPr>
        <w:t>个；从业人员</w:t>
      </w:r>
      <w:r>
        <w:rPr>
          <w:rFonts w:hint="eastAsia" w:ascii="仿宋_GB2312" w:hAnsi="仿宋_GB2312" w:eastAsia="仿宋_GB2312" w:cs="仿宋_GB2312"/>
          <w:color w:val="auto"/>
          <w:sz w:val="32"/>
          <w:szCs w:val="32"/>
          <w:highlight w:val="none"/>
          <w:u w:val="none"/>
          <w:lang w:val="en-US" w:eastAsia="zh-CN"/>
        </w:rPr>
        <w:t>0.01</w:t>
      </w:r>
      <w:r>
        <w:rPr>
          <w:rFonts w:hint="eastAsia" w:ascii="仿宋_GB2312" w:hAnsi="仿宋_GB2312" w:eastAsia="仿宋_GB2312" w:cs="仿宋_GB2312"/>
          <w:color w:val="auto"/>
          <w:spacing w:val="-6"/>
          <w:kern w:val="2"/>
          <w:sz w:val="32"/>
          <w:szCs w:val="32"/>
          <w:highlight w:val="none"/>
          <w:u w:val="none"/>
          <w:lang w:val="en-US" w:eastAsia="zh-CN" w:bidi="ar-SA"/>
        </w:rPr>
        <w:t>万人。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Autospacing="0" w:line="580" w:lineRule="exact"/>
        <w:ind w:left="0" w:right="0" w:firstLine="632" w:firstLineChars="200"/>
        <w:jc w:val="both"/>
        <w:textAlignment w:val="auto"/>
        <w:rPr>
          <w:rFonts w:hint="eastAsia" w:ascii="楷体_GB2312" w:hAnsi="楷体_GB2312" w:eastAsia="楷体_GB2312" w:cs="楷体_GB2312"/>
          <w:i w:val="0"/>
          <w:caps w:val="0"/>
          <w:color w:val="0C0C0C"/>
          <w:spacing w:val="0"/>
          <w:kern w:val="0"/>
          <w:sz w:val="32"/>
          <w:szCs w:val="32"/>
          <w:highlight w:val="none"/>
          <w:lang w:val="en-US" w:eastAsia="zh-CN" w:bidi="ar"/>
        </w:rPr>
      </w:pPr>
      <w:r>
        <w:rPr>
          <w:rFonts w:hint="eastAsia" w:ascii="楷体_GB2312" w:hAnsi="楷体_GB2312" w:eastAsia="楷体_GB2312" w:cs="楷体_GB2312"/>
          <w:i w:val="0"/>
          <w:caps w:val="0"/>
          <w:color w:val="0C0C0C"/>
          <w:spacing w:val="0"/>
          <w:kern w:val="0"/>
          <w:sz w:val="32"/>
          <w:szCs w:val="32"/>
          <w:highlight w:val="none"/>
          <w:lang w:val="en-US" w:eastAsia="zh-CN" w:bidi="ar"/>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0" w:afterAutospacing="0" w:line="580" w:lineRule="exact"/>
        <w:ind w:left="0" w:right="0" w:firstLine="608" w:firstLineChars="200"/>
        <w:jc w:val="both"/>
        <w:textAlignment w:val="auto"/>
        <w:rPr>
          <w:rFonts w:hint="eastAsia" w:ascii="仿宋_GB2312" w:hAnsi="仿宋_GB2312" w:eastAsia="仿宋_GB2312" w:cs="仿宋_GB2312"/>
          <w:color w:val="0C0C0C"/>
          <w:spacing w:val="-6"/>
          <w:kern w:val="2"/>
          <w:sz w:val="32"/>
          <w:szCs w:val="32"/>
          <w:highlight w:val="none"/>
          <w:u w:val="none"/>
          <w:lang w:val="en-US" w:eastAsia="zh-CN" w:bidi="ar-SA"/>
        </w:rPr>
      </w:pPr>
      <w:r>
        <w:rPr>
          <w:rFonts w:hint="eastAsia" w:ascii="仿宋_GB2312" w:hAnsi="仿宋_GB2312" w:eastAsia="仿宋_GB2312" w:cs="仿宋_GB2312"/>
          <w:color w:val="0C0C0C"/>
          <w:spacing w:val="-6"/>
          <w:kern w:val="2"/>
          <w:sz w:val="32"/>
          <w:szCs w:val="32"/>
          <w:highlight w:val="none"/>
          <w:u w:val="none"/>
          <w:lang w:val="en-US" w:eastAsia="zh-CN" w:bidi="ar-SA"/>
        </w:rPr>
        <w:t>2023年末，水利、环境和公共设施管理业企业法人单位资产总计</w:t>
      </w:r>
      <w:r>
        <w:rPr>
          <w:rFonts w:hint="eastAsia" w:ascii="仿宋_GB2312" w:hAnsi="仿宋_GB2312" w:eastAsia="仿宋_GB2312" w:cs="仿宋_GB2312"/>
          <w:color w:val="0C0C0C"/>
          <w:sz w:val="32"/>
          <w:szCs w:val="32"/>
          <w:highlight w:val="none"/>
          <w:u w:val="none"/>
          <w:lang w:val="en-US" w:eastAsia="zh-CN"/>
        </w:rPr>
        <w:t>26.08</w:t>
      </w:r>
      <w:r>
        <w:rPr>
          <w:rFonts w:hint="eastAsia" w:ascii="仿宋_GB2312" w:hAnsi="仿宋_GB2312" w:eastAsia="仿宋_GB2312" w:cs="仿宋_GB2312"/>
          <w:color w:val="0C0C0C"/>
          <w:spacing w:val="-6"/>
          <w:kern w:val="2"/>
          <w:sz w:val="32"/>
          <w:szCs w:val="32"/>
          <w:highlight w:val="none"/>
          <w:u w:val="none"/>
          <w:lang w:val="en-US" w:eastAsia="zh-CN" w:bidi="ar-SA"/>
        </w:rPr>
        <w:t>亿元，比2018年末增长27.2%；负债合计</w:t>
      </w:r>
      <w:r>
        <w:rPr>
          <w:rFonts w:hint="eastAsia" w:ascii="仿宋_GB2312" w:hAnsi="仿宋_GB2312" w:eastAsia="仿宋_GB2312" w:cs="仿宋_GB2312"/>
          <w:color w:val="0C0C0C"/>
          <w:sz w:val="32"/>
          <w:szCs w:val="32"/>
          <w:highlight w:val="none"/>
          <w:u w:val="none"/>
          <w:lang w:val="en-US" w:eastAsia="zh-CN"/>
        </w:rPr>
        <w:t>5.87</w:t>
      </w:r>
      <w:r>
        <w:rPr>
          <w:rFonts w:hint="eastAsia" w:ascii="仿宋_GB2312" w:hAnsi="仿宋_GB2312" w:eastAsia="仿宋_GB2312" w:cs="仿宋_GB2312"/>
          <w:color w:val="0C0C0C"/>
          <w:spacing w:val="-6"/>
          <w:kern w:val="2"/>
          <w:sz w:val="32"/>
          <w:szCs w:val="32"/>
          <w:highlight w:val="none"/>
          <w:u w:val="none"/>
          <w:lang w:val="en-US" w:eastAsia="zh-CN" w:bidi="ar-SA"/>
        </w:rPr>
        <w:t>亿元，比2018年末增长</w:t>
      </w:r>
      <w:r>
        <w:rPr>
          <w:rFonts w:hint="eastAsia" w:ascii="仿宋_GB2312" w:hAnsi="仿宋_GB2312" w:eastAsia="仿宋_GB2312" w:cs="仿宋_GB2312"/>
          <w:color w:val="0C0C0C"/>
          <w:sz w:val="32"/>
          <w:szCs w:val="32"/>
          <w:highlight w:val="none"/>
          <w:u w:val="none"/>
          <w:lang w:val="en-US" w:eastAsia="zh-CN"/>
        </w:rPr>
        <w:t>52.5%</w:t>
      </w:r>
      <w:r>
        <w:rPr>
          <w:rFonts w:hint="eastAsia" w:ascii="仿宋_GB2312" w:hAnsi="仿宋_GB2312" w:eastAsia="仿宋_GB2312" w:cs="仿宋_GB2312"/>
          <w:color w:val="0C0C0C"/>
          <w:spacing w:val="-6"/>
          <w:kern w:val="2"/>
          <w:sz w:val="32"/>
          <w:szCs w:val="32"/>
          <w:highlight w:val="none"/>
          <w:u w:val="none"/>
          <w:lang w:val="en-US" w:eastAsia="zh-CN" w:bidi="ar-SA"/>
        </w:rPr>
        <w:t>。全年实现营业收入</w:t>
      </w:r>
      <w:r>
        <w:rPr>
          <w:rFonts w:hint="eastAsia" w:ascii="仿宋_GB2312" w:hAnsi="仿宋_GB2312" w:eastAsia="仿宋_GB2312" w:cs="仿宋_GB2312"/>
          <w:color w:val="0C0C0C"/>
          <w:sz w:val="32"/>
          <w:szCs w:val="32"/>
          <w:highlight w:val="none"/>
          <w:u w:val="none"/>
          <w:lang w:val="en-US" w:eastAsia="zh-CN"/>
        </w:rPr>
        <w:t>3.45</w:t>
      </w:r>
      <w:r>
        <w:rPr>
          <w:rFonts w:hint="eastAsia" w:ascii="仿宋_GB2312" w:hAnsi="仿宋_GB2312" w:eastAsia="仿宋_GB2312" w:cs="仿宋_GB2312"/>
          <w:color w:val="0C0C0C"/>
          <w:spacing w:val="-6"/>
          <w:kern w:val="2"/>
          <w:sz w:val="32"/>
          <w:szCs w:val="32"/>
          <w:highlight w:val="none"/>
          <w:u w:val="none"/>
          <w:lang w:val="en-US" w:eastAsia="zh-CN" w:bidi="ar-SA"/>
        </w:rPr>
        <w:t>亿元，比2018年下降41.6%。</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0" w:afterAutospacing="0" w:line="580" w:lineRule="exact"/>
        <w:ind w:left="0" w:right="0" w:firstLine="608"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行政事业及非企业法人单位年末资产</w:t>
      </w:r>
      <w:r>
        <w:rPr>
          <w:rFonts w:hint="eastAsia" w:ascii="仿宋_GB2312" w:hAnsi="仿宋_GB2312" w:eastAsia="仿宋_GB2312" w:cs="仿宋_GB2312"/>
          <w:color w:val="auto"/>
          <w:kern w:val="2"/>
          <w:sz w:val="30"/>
          <w:szCs w:val="30"/>
          <w:highlight w:val="none"/>
          <w:lang w:val="en-US" w:eastAsia="zh-CN" w:bidi="ar-SA"/>
        </w:rPr>
        <w:t>6.6</w:t>
      </w:r>
      <w:r>
        <w:rPr>
          <w:rFonts w:hint="eastAsia" w:ascii="仿宋_GB2312" w:hAnsi="仿宋_GB2312" w:eastAsia="仿宋_GB2312" w:cs="仿宋_GB2312"/>
          <w:color w:val="auto"/>
          <w:spacing w:val="-6"/>
          <w:kern w:val="2"/>
          <w:sz w:val="32"/>
          <w:szCs w:val="32"/>
          <w:highlight w:val="none"/>
          <w:u w:val="none"/>
          <w:lang w:val="en-US" w:eastAsia="zh-CN" w:bidi="ar-SA"/>
        </w:rPr>
        <w:t>亿元,本年支出（费用）合计</w:t>
      </w:r>
      <w:r>
        <w:rPr>
          <w:rFonts w:hint="eastAsia" w:ascii="仿宋_GB2312" w:hAnsi="仿宋_GB2312" w:eastAsia="仿宋_GB2312" w:cs="仿宋_GB2312"/>
          <w:color w:val="auto"/>
          <w:sz w:val="32"/>
          <w:szCs w:val="32"/>
          <w:highlight w:val="none"/>
          <w:u w:val="none"/>
          <w:lang w:val="en-US" w:eastAsia="zh-CN"/>
        </w:rPr>
        <w:t>3.20</w:t>
      </w:r>
      <w:r>
        <w:rPr>
          <w:rFonts w:hint="eastAsia" w:ascii="仿宋_GB2312" w:hAnsi="仿宋_GB2312" w:eastAsia="仿宋_GB2312" w:cs="仿宋_GB2312"/>
          <w:color w:val="auto"/>
          <w:spacing w:val="-6"/>
          <w:kern w:val="2"/>
          <w:sz w:val="32"/>
          <w:szCs w:val="32"/>
          <w:highlight w:val="none"/>
          <w:u w:val="none"/>
          <w:lang w:val="en-US" w:eastAsia="zh-CN" w:bidi="ar-SA"/>
        </w:rPr>
        <w:t>亿元，比2018年增长</w:t>
      </w:r>
      <w:r>
        <w:rPr>
          <w:rFonts w:hint="eastAsia" w:ascii="仿宋_GB2312" w:hAnsi="仿宋_GB2312" w:eastAsia="仿宋_GB2312" w:cs="仿宋_GB2312"/>
          <w:color w:val="auto"/>
          <w:sz w:val="32"/>
          <w:szCs w:val="32"/>
          <w:highlight w:val="none"/>
          <w:u w:val="none"/>
          <w:lang w:val="en-US" w:eastAsia="zh-CN"/>
        </w:rPr>
        <w:t>720.6%</w:t>
      </w:r>
      <w:r>
        <w:rPr>
          <w:rFonts w:hint="eastAsia" w:ascii="仿宋_GB2312" w:hAnsi="仿宋_GB2312" w:eastAsia="仿宋_GB2312" w:cs="仿宋_GB2312"/>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Autospacing="0" w:line="580" w:lineRule="exact"/>
        <w:ind w:left="0" w:leftChars="0" w:right="0" w:firstLine="632" w:firstLineChars="200"/>
        <w:jc w:val="both"/>
        <w:textAlignment w:val="auto"/>
        <w:rPr>
          <w:rFonts w:hint="eastAsia" w:ascii="黑体" w:hAnsi="黑体" w:eastAsia="黑体" w:cs="黑体"/>
          <w:b w:val="0"/>
          <w:bCs/>
          <w:i w:val="0"/>
          <w:caps w:val="0"/>
          <w:color w:val="0C0C0C"/>
          <w:spacing w:val="0"/>
          <w:kern w:val="0"/>
          <w:sz w:val="32"/>
          <w:szCs w:val="32"/>
          <w:highlight w:val="none"/>
          <w:lang w:val="en-US" w:eastAsia="zh-CN" w:bidi="ar"/>
        </w:rPr>
      </w:pPr>
      <w:r>
        <w:rPr>
          <w:rFonts w:hint="eastAsia" w:ascii="黑体" w:hAnsi="黑体" w:eastAsia="黑体" w:cs="黑体"/>
          <w:b w:val="0"/>
          <w:bCs/>
          <w:i w:val="0"/>
          <w:caps w:val="0"/>
          <w:color w:val="0C0C0C"/>
          <w:spacing w:val="0"/>
          <w:kern w:val="0"/>
          <w:sz w:val="32"/>
          <w:szCs w:val="32"/>
          <w:highlight w:val="none"/>
          <w:lang w:val="en-US" w:eastAsia="zh-CN" w:bidi="ar"/>
        </w:rPr>
        <w:t>三、居民服务、修理和其他服务业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Autospacing="0" w:line="580" w:lineRule="exact"/>
        <w:ind w:left="0" w:right="0" w:firstLine="632" w:firstLineChars="200"/>
        <w:jc w:val="both"/>
        <w:textAlignment w:val="auto"/>
        <w:rPr>
          <w:rFonts w:hint="eastAsia" w:ascii="楷体_GB2312" w:hAnsi="楷体_GB2312" w:eastAsia="楷体_GB2312" w:cs="楷体_GB2312"/>
          <w:i w:val="0"/>
          <w:caps w:val="0"/>
          <w:color w:val="0C0C0C"/>
          <w:spacing w:val="0"/>
          <w:kern w:val="0"/>
          <w:sz w:val="32"/>
          <w:szCs w:val="32"/>
          <w:highlight w:val="none"/>
          <w:lang w:bidi="ar"/>
        </w:rPr>
      </w:pPr>
      <w:r>
        <w:rPr>
          <w:rFonts w:hint="eastAsia" w:ascii="楷体_GB2312" w:hAnsi="楷体_GB2312" w:eastAsia="楷体_GB2312" w:cs="楷体_GB2312"/>
          <w:i w:val="0"/>
          <w:caps w:val="0"/>
          <w:color w:val="0C0C0C"/>
          <w:spacing w:val="0"/>
          <w:kern w:val="0"/>
          <w:sz w:val="32"/>
          <w:szCs w:val="32"/>
          <w:highlight w:val="none"/>
          <w:lang w:val="en-US" w:eastAsia="zh-CN" w:bidi="ar"/>
        </w:rPr>
        <w:t>（一）企业法人单位数和从业人员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0" w:afterAutospacing="0" w:line="580" w:lineRule="exact"/>
        <w:ind w:left="0" w:leftChars="0" w:right="0" w:firstLine="608" w:firstLineChars="200"/>
        <w:jc w:val="both"/>
        <w:textAlignment w:val="auto"/>
        <w:rPr>
          <w:rFonts w:hint="eastAsia" w:ascii="仿宋_GB2312" w:hAnsi="仿宋_GB2312" w:eastAsia="仿宋_GB2312" w:cs="仿宋_GB2312"/>
          <w:color w:val="0C0C0C"/>
          <w:spacing w:val="-6"/>
          <w:kern w:val="2"/>
          <w:sz w:val="32"/>
          <w:szCs w:val="32"/>
          <w:highlight w:val="none"/>
          <w:u w:val="none"/>
          <w:lang w:val="en-US" w:eastAsia="zh-CN" w:bidi="ar-SA"/>
        </w:rPr>
      </w:pPr>
      <w:r>
        <w:rPr>
          <w:rFonts w:hint="eastAsia" w:ascii="仿宋_GB2312" w:hAnsi="仿宋_GB2312" w:eastAsia="仿宋_GB2312" w:cs="仿宋_GB2312"/>
          <w:color w:val="0C0C0C"/>
          <w:spacing w:val="-6"/>
          <w:kern w:val="2"/>
          <w:sz w:val="32"/>
          <w:szCs w:val="32"/>
          <w:highlight w:val="none"/>
          <w:u w:val="none"/>
          <w:lang w:val="en" w:eastAsia="zh-CN" w:bidi="ar-SA"/>
        </w:rPr>
        <w:t>2023年末，全</w:t>
      </w:r>
      <w:r>
        <w:rPr>
          <w:rFonts w:hint="eastAsia" w:ascii="仿宋_GB2312" w:hAnsi="仿宋_GB2312" w:eastAsia="仿宋_GB2312" w:cs="仿宋_GB2312"/>
          <w:color w:val="0C0C0C"/>
          <w:spacing w:val="-6"/>
          <w:kern w:val="2"/>
          <w:sz w:val="32"/>
          <w:szCs w:val="32"/>
          <w:highlight w:val="none"/>
          <w:u w:val="none"/>
          <w:lang w:val="en-US" w:eastAsia="zh-CN" w:bidi="ar-SA"/>
        </w:rPr>
        <w:t>区</w:t>
      </w:r>
      <w:r>
        <w:rPr>
          <w:rFonts w:hint="eastAsia" w:ascii="仿宋_GB2312" w:hAnsi="仿宋_GB2312" w:eastAsia="仿宋_GB2312" w:cs="仿宋_GB2312"/>
          <w:color w:val="0C0C0C"/>
          <w:spacing w:val="-6"/>
          <w:kern w:val="2"/>
          <w:sz w:val="32"/>
          <w:szCs w:val="32"/>
          <w:highlight w:val="none"/>
          <w:u w:val="none"/>
          <w:lang w:val="en" w:eastAsia="zh-CN" w:bidi="ar-SA"/>
        </w:rPr>
        <w:t>共有居民服务、修理和其他服务业企业法人单位</w:t>
      </w:r>
      <w:r>
        <w:rPr>
          <w:rFonts w:hint="eastAsia" w:ascii="仿宋_GB2312" w:hAnsi="仿宋_GB2312" w:eastAsia="仿宋_GB2312" w:cs="仿宋_GB2312"/>
          <w:color w:val="0C0C0C"/>
          <w:sz w:val="32"/>
          <w:szCs w:val="32"/>
          <w:highlight w:val="none"/>
          <w:u w:val="none"/>
          <w:lang w:val="en-US" w:eastAsia="zh-CN"/>
        </w:rPr>
        <w:t>801</w:t>
      </w:r>
      <w:r>
        <w:rPr>
          <w:rFonts w:hint="eastAsia" w:ascii="仿宋_GB2312" w:hAnsi="仿宋_GB2312" w:eastAsia="仿宋_GB2312" w:cs="仿宋_GB2312"/>
          <w:color w:val="0C0C0C"/>
          <w:spacing w:val="-6"/>
          <w:kern w:val="2"/>
          <w:sz w:val="32"/>
          <w:szCs w:val="32"/>
          <w:highlight w:val="none"/>
          <w:u w:val="none"/>
          <w:lang w:val="en" w:eastAsia="zh-CN" w:bidi="ar-SA"/>
        </w:rPr>
        <w:t>个，从业人员</w:t>
      </w:r>
      <w:r>
        <w:rPr>
          <w:rFonts w:hint="eastAsia" w:ascii="仿宋_GB2312" w:hAnsi="仿宋_GB2312" w:eastAsia="仿宋_GB2312" w:cs="仿宋_GB2312"/>
          <w:color w:val="0C0C0C"/>
          <w:sz w:val="32"/>
          <w:szCs w:val="32"/>
          <w:highlight w:val="none"/>
          <w:u w:val="none"/>
          <w:lang w:val="en-US" w:eastAsia="zh-CN"/>
        </w:rPr>
        <w:t>0.54万</w:t>
      </w:r>
      <w:r>
        <w:rPr>
          <w:rFonts w:hint="eastAsia" w:ascii="仿宋_GB2312" w:hAnsi="仿宋_GB2312" w:eastAsia="仿宋_GB2312" w:cs="仿宋_GB2312"/>
          <w:color w:val="0C0C0C"/>
          <w:spacing w:val="-6"/>
          <w:kern w:val="2"/>
          <w:sz w:val="32"/>
          <w:szCs w:val="32"/>
          <w:highlight w:val="none"/>
          <w:u w:val="none"/>
          <w:lang w:val="en" w:eastAsia="zh-CN" w:bidi="ar-SA"/>
        </w:rPr>
        <w:t>人，分别比2018年末增长</w:t>
      </w:r>
      <w:r>
        <w:rPr>
          <w:rFonts w:hint="eastAsia" w:ascii="仿宋_GB2312" w:hAnsi="仿宋_GB2312" w:eastAsia="仿宋_GB2312" w:cs="仿宋_GB2312"/>
          <w:color w:val="0C0C0C"/>
          <w:sz w:val="32"/>
          <w:szCs w:val="32"/>
          <w:highlight w:val="none"/>
          <w:u w:val="none"/>
          <w:lang w:val="en-US" w:eastAsia="zh-CN"/>
        </w:rPr>
        <w:t>78.4%</w:t>
      </w:r>
      <w:r>
        <w:rPr>
          <w:rFonts w:hint="eastAsia" w:ascii="仿宋_GB2312" w:hAnsi="仿宋_GB2312" w:eastAsia="仿宋_GB2312" w:cs="仿宋_GB2312"/>
          <w:color w:val="0C0C0C"/>
          <w:spacing w:val="-6"/>
          <w:kern w:val="2"/>
          <w:sz w:val="32"/>
          <w:szCs w:val="32"/>
          <w:highlight w:val="none"/>
          <w:u w:val="none"/>
          <w:lang w:val="en" w:eastAsia="zh-CN" w:bidi="ar-SA"/>
        </w:rPr>
        <w:t>和</w:t>
      </w:r>
      <w:r>
        <w:rPr>
          <w:rFonts w:hint="eastAsia" w:ascii="仿宋_GB2312" w:hAnsi="仿宋_GB2312" w:eastAsia="仿宋_GB2312" w:cs="仿宋_GB2312"/>
          <w:color w:val="0C0C0C"/>
          <w:sz w:val="32"/>
          <w:szCs w:val="32"/>
          <w:highlight w:val="none"/>
          <w:u w:val="none"/>
          <w:lang w:val="en-US" w:eastAsia="zh-CN"/>
        </w:rPr>
        <w:t>58.8%</w:t>
      </w:r>
      <w:r>
        <w:rPr>
          <w:rFonts w:hint="eastAsia" w:ascii="仿宋_GB2312" w:hAnsi="仿宋_GB2312" w:eastAsia="仿宋_GB2312" w:cs="仿宋_GB2312"/>
          <w:color w:val="0C0C0C"/>
          <w:spacing w:val="-6"/>
          <w:kern w:val="2"/>
          <w:sz w:val="32"/>
          <w:szCs w:val="32"/>
          <w:highlight w:val="none"/>
          <w:u w:val="none"/>
          <w:lang w:val="en" w:eastAsia="zh-CN" w:bidi="ar-SA"/>
        </w:rPr>
        <w:t>（详见表5-4）</w:t>
      </w:r>
      <w:r>
        <w:rPr>
          <w:rFonts w:hint="eastAsia" w:ascii="仿宋_GB2312" w:hAnsi="仿宋_GB2312" w:eastAsia="仿宋_GB2312" w:cs="仿宋_GB2312"/>
          <w:color w:val="0C0C0C"/>
          <w:spacing w:val="-6"/>
          <w:kern w:val="2"/>
          <w:sz w:val="32"/>
          <w:szCs w:val="32"/>
          <w:highlight w:val="none"/>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176" w:afterLines="30" w:afterAutospacing="0" w:line="600" w:lineRule="exact"/>
        <w:ind w:left="0" w:right="0" w:firstLine="0" w:firstLineChars="0"/>
        <w:jc w:val="center"/>
        <w:textAlignment w:val="auto"/>
        <w:rPr>
          <w:rFonts w:hint="eastAsia" w:ascii="宋体" w:hAnsi="宋体" w:eastAsia="宋体" w:cs="宋体"/>
          <w:b/>
          <w:bCs w:val="0"/>
          <w:i w:val="0"/>
          <w:caps w:val="0"/>
          <w:color w:val="0C0C0C"/>
          <w:spacing w:val="0"/>
          <w:kern w:val="0"/>
          <w:sz w:val="24"/>
          <w:szCs w:val="24"/>
          <w:highlight w:val="none"/>
          <w:lang w:val="en-US" w:eastAsia="zh-CN" w:bidi="ar"/>
        </w:rPr>
      </w:pPr>
      <w:r>
        <w:rPr>
          <w:rFonts w:hint="eastAsia" w:ascii="宋体" w:hAnsi="宋体" w:eastAsia="宋体" w:cs="宋体"/>
          <w:b/>
          <w:bCs w:val="0"/>
          <w:i w:val="0"/>
          <w:caps w:val="0"/>
          <w:color w:val="0C0C0C"/>
          <w:spacing w:val="0"/>
          <w:kern w:val="0"/>
          <w:sz w:val="24"/>
          <w:szCs w:val="24"/>
          <w:highlight w:val="none"/>
          <w:lang w:val="en-US" w:eastAsia="zh-CN" w:bidi="ar"/>
        </w:rPr>
        <w:t>表5-4　按行业大类分组的居民服务、修理和其他服务业企业法人单位数和从业人员</w:t>
      </w:r>
    </w:p>
    <w:tbl>
      <w:tblPr>
        <w:tblStyle w:val="10"/>
        <w:tblW w:w="884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412"/>
        <w:gridCol w:w="2508"/>
        <w:gridCol w:w="19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4412"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color w:val="0C0C0C"/>
                <w:sz w:val="21"/>
                <w:szCs w:val="21"/>
                <w:highlight w:val="none"/>
              </w:rPr>
            </w:pPr>
          </w:p>
        </w:tc>
        <w:tc>
          <w:tcPr>
            <w:tcW w:w="250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920"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4412"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2508"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801</w:t>
            </w:r>
          </w:p>
        </w:tc>
        <w:tc>
          <w:tcPr>
            <w:tcW w:w="1920"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0.54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4412"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居民服务业</w:t>
            </w:r>
          </w:p>
        </w:tc>
        <w:tc>
          <w:tcPr>
            <w:tcW w:w="2508"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346</w:t>
            </w:r>
          </w:p>
        </w:tc>
        <w:tc>
          <w:tcPr>
            <w:tcW w:w="1920"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0.19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83" w:hRule="atLeast"/>
          <w:jc w:val="center"/>
        </w:trPr>
        <w:tc>
          <w:tcPr>
            <w:tcW w:w="4412"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机动车、电子产品和日用产品修理业</w:t>
            </w:r>
          </w:p>
        </w:tc>
        <w:tc>
          <w:tcPr>
            <w:tcW w:w="2508"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372</w:t>
            </w:r>
          </w:p>
        </w:tc>
        <w:tc>
          <w:tcPr>
            <w:tcW w:w="1920"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0.20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4412"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其他服务业</w:t>
            </w:r>
          </w:p>
        </w:tc>
        <w:tc>
          <w:tcPr>
            <w:tcW w:w="2508"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83</w:t>
            </w:r>
          </w:p>
        </w:tc>
        <w:tc>
          <w:tcPr>
            <w:tcW w:w="1920" w:type="dxa"/>
            <w:tcBorders>
              <w:top w:val="nil"/>
              <w:left w:val="single" w:color="auto" w:sz="4" w:space="0"/>
              <w:bottom w:val="single" w:color="auto" w:sz="12" w:space="0"/>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0.14</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firstLine="584" w:firstLineChars="0"/>
        <w:jc w:val="both"/>
        <w:textAlignment w:val="auto"/>
        <w:rPr>
          <w:rFonts w:hint="eastAsia" w:ascii="仿宋_GB2312" w:hAnsi="仿宋_GB2312" w:eastAsia="仿宋_GB2312" w:cs="仿宋_GB2312"/>
          <w:color w:val="0C0C0C"/>
          <w:spacing w:val="-6"/>
          <w:kern w:val="2"/>
          <w:sz w:val="32"/>
          <w:szCs w:val="32"/>
          <w:highlight w:val="none"/>
          <w:u w:val="none"/>
          <w:lang w:val="en-US" w:eastAsia="zh-CN" w:bidi="ar-SA"/>
        </w:rPr>
      </w:pPr>
      <w:r>
        <w:rPr>
          <w:rFonts w:hint="eastAsia" w:ascii="仿宋_GB2312" w:hAnsi="仿宋_GB2312" w:eastAsia="仿宋_GB2312" w:cs="仿宋_GB2312"/>
          <w:color w:val="0C0C0C"/>
          <w:spacing w:val="-6"/>
          <w:kern w:val="2"/>
          <w:sz w:val="32"/>
          <w:szCs w:val="32"/>
          <w:highlight w:val="none"/>
          <w:u w:val="none"/>
          <w:lang w:val="en-US" w:eastAsia="zh-CN" w:bidi="ar-SA"/>
        </w:rPr>
        <w:t>在居民服务、修理和其他服务业企业法人单位中，内资企业占</w:t>
      </w:r>
      <w:r>
        <w:rPr>
          <w:rFonts w:hint="eastAsia" w:ascii="仿宋_GB2312" w:hAnsi="仿宋_GB2312" w:eastAsia="仿宋_GB2312" w:cs="仿宋_GB2312"/>
          <w:color w:val="0C0C0C"/>
          <w:sz w:val="32"/>
          <w:szCs w:val="32"/>
          <w:highlight w:val="none"/>
          <w:u w:val="none"/>
          <w:lang w:val="en-US" w:eastAsia="zh-CN"/>
        </w:rPr>
        <w:t>98.9</w:t>
      </w:r>
      <w:r>
        <w:rPr>
          <w:rFonts w:hint="eastAsia" w:ascii="仿宋_GB2312" w:hAnsi="仿宋_GB2312" w:eastAsia="仿宋_GB2312" w:cs="仿宋_GB2312"/>
          <w:color w:val="0C0C0C"/>
          <w:spacing w:val="-6"/>
          <w:kern w:val="2"/>
          <w:sz w:val="32"/>
          <w:szCs w:val="32"/>
          <w:highlight w:val="none"/>
          <w:u w:val="none"/>
          <w:lang w:val="en-US" w:eastAsia="zh-CN" w:bidi="ar-SA"/>
        </w:rPr>
        <w:t>%，其他统计类别占1.1%。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firstLine="584" w:firstLineChars="0"/>
        <w:jc w:val="both"/>
        <w:textAlignment w:val="auto"/>
        <w:rPr>
          <w:rFonts w:hint="eastAsia" w:ascii="Times New Roman" w:hAnsi="Times New Roman" w:eastAsia="方正仿宋_GBK" w:cs="Times New Roman"/>
          <w:color w:val="0C0C0C"/>
          <w:spacing w:val="-6"/>
          <w:kern w:val="2"/>
          <w:sz w:val="32"/>
          <w:szCs w:val="32"/>
          <w:highlight w:val="none"/>
          <w:u w:val="none"/>
          <w:lang w:val="en-US" w:eastAsia="zh-CN" w:bidi="ar-SA"/>
        </w:rPr>
      </w:pPr>
      <w:r>
        <w:rPr>
          <w:rFonts w:hint="eastAsia" w:ascii="仿宋_GB2312" w:hAnsi="仿宋_GB2312" w:eastAsia="仿宋_GB2312" w:cs="仿宋_GB2312"/>
          <w:color w:val="0C0C0C"/>
          <w:spacing w:val="-6"/>
          <w:kern w:val="2"/>
          <w:sz w:val="32"/>
          <w:szCs w:val="32"/>
          <w:highlight w:val="none"/>
          <w:u w:val="none"/>
          <w:lang w:val="en-US" w:eastAsia="zh-CN" w:bidi="ar-SA"/>
        </w:rPr>
        <w:t>在居民服务、修理和其他服务业企业法人单位从业人员中，内资企业占</w:t>
      </w:r>
      <w:r>
        <w:rPr>
          <w:rFonts w:hint="eastAsia" w:ascii="仿宋_GB2312" w:hAnsi="仿宋_GB2312" w:eastAsia="仿宋_GB2312" w:cs="仿宋_GB2312"/>
          <w:color w:val="0C0C0C"/>
          <w:sz w:val="32"/>
          <w:szCs w:val="32"/>
          <w:highlight w:val="none"/>
          <w:u w:val="none"/>
          <w:lang w:val="en-US" w:eastAsia="zh-CN"/>
        </w:rPr>
        <w:t>96.3%</w:t>
      </w:r>
      <w:r>
        <w:rPr>
          <w:rFonts w:hint="eastAsia" w:ascii="仿宋_GB2312" w:hAnsi="仿宋_GB2312" w:eastAsia="仿宋_GB2312" w:cs="仿宋_GB2312"/>
          <w:color w:val="0C0C0C"/>
          <w:spacing w:val="-6"/>
          <w:kern w:val="2"/>
          <w:sz w:val="32"/>
          <w:szCs w:val="32"/>
          <w:highlight w:val="none"/>
          <w:u w:val="none"/>
          <w:lang w:val="en-US" w:eastAsia="zh-CN" w:bidi="ar-SA"/>
        </w:rPr>
        <w:t>，其他统计类别占3.7%（详见表5-5）。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176" w:afterLines="30" w:afterAutospacing="0" w:line="600" w:lineRule="exact"/>
        <w:ind w:left="0" w:right="0" w:firstLine="0" w:firstLineChars="0"/>
        <w:jc w:val="center"/>
        <w:textAlignment w:val="auto"/>
        <w:rPr>
          <w:rFonts w:hint="eastAsia" w:ascii="宋体" w:hAnsi="宋体" w:eastAsia="宋体" w:cs="宋体"/>
          <w:b/>
          <w:bCs w:val="0"/>
          <w:i w:val="0"/>
          <w:caps w:val="0"/>
          <w:color w:val="0C0C0C"/>
          <w:spacing w:val="0"/>
          <w:kern w:val="0"/>
          <w:sz w:val="24"/>
          <w:szCs w:val="24"/>
          <w:highlight w:val="none"/>
          <w:lang w:val="en-US" w:eastAsia="zh-CN" w:bidi="ar"/>
        </w:rPr>
      </w:pPr>
      <w:r>
        <w:rPr>
          <w:rFonts w:hint="eastAsia" w:ascii="宋体" w:hAnsi="宋体" w:eastAsia="宋体" w:cs="宋体"/>
          <w:b/>
          <w:bCs w:val="0"/>
          <w:i w:val="0"/>
          <w:caps w:val="0"/>
          <w:color w:val="0C0C0C"/>
          <w:spacing w:val="0"/>
          <w:kern w:val="0"/>
          <w:sz w:val="24"/>
          <w:szCs w:val="24"/>
          <w:highlight w:val="none"/>
          <w:lang w:val="en-US" w:eastAsia="zh-CN" w:bidi="ar"/>
        </w:rPr>
        <w:t>表5-5　</w:t>
      </w:r>
      <w:r>
        <w:rPr>
          <w:rFonts w:hint="eastAsia" w:ascii="宋体" w:hAnsi="宋体" w:eastAsia="宋体" w:cs="宋体"/>
          <w:b/>
          <w:bCs w:val="0"/>
          <w:i w:val="0"/>
          <w:caps w:val="0"/>
          <w:color w:val="0C0C0C"/>
          <w:spacing w:val="-11"/>
          <w:kern w:val="0"/>
          <w:sz w:val="24"/>
          <w:szCs w:val="24"/>
          <w:highlight w:val="none"/>
          <w:lang w:val="en-US" w:eastAsia="zh-CN" w:bidi="ar"/>
        </w:rPr>
        <w:t>按登记注册统计类别分组的居民服务、修理和其他服务业企业法人单位数和从业人员</w:t>
      </w:r>
    </w:p>
    <w:tbl>
      <w:tblPr>
        <w:tblStyle w:val="10"/>
        <w:tblW w:w="884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435"/>
        <w:gridCol w:w="2980"/>
        <w:gridCol w:w="242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435"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color w:val="0C0C0C"/>
                <w:sz w:val="21"/>
                <w:szCs w:val="21"/>
                <w:highlight w:val="none"/>
              </w:rPr>
            </w:pPr>
          </w:p>
        </w:tc>
        <w:tc>
          <w:tcPr>
            <w:tcW w:w="2980"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425"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435"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2980"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801</w:t>
            </w:r>
          </w:p>
        </w:tc>
        <w:tc>
          <w:tcPr>
            <w:tcW w:w="2425"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0.54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43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2980"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79</w:t>
            </w:r>
            <w:r>
              <w:rPr>
                <w:rFonts w:hint="eastAsia" w:eastAsia="宋体" w:cs="宋体"/>
                <w:b w:val="0"/>
                <w:bCs/>
                <w:color w:val="0C0C0C"/>
                <w:kern w:val="0"/>
                <w:sz w:val="21"/>
                <w:szCs w:val="21"/>
                <w:highlight w:val="none"/>
                <w:lang w:val="en-US" w:eastAsia="zh-CN" w:bidi="ar"/>
              </w:rPr>
              <w:t>8</w:t>
            </w:r>
          </w:p>
        </w:tc>
        <w:tc>
          <w:tcPr>
            <w:tcW w:w="2425"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default"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0.</w:t>
            </w:r>
            <w:r>
              <w:rPr>
                <w:rFonts w:hint="eastAsia" w:eastAsia="宋体" w:cs="宋体"/>
                <w:b w:val="0"/>
                <w:bCs/>
                <w:color w:val="0C0C0C"/>
                <w:kern w:val="0"/>
                <w:sz w:val="21"/>
                <w:szCs w:val="21"/>
                <w:highlight w:val="none"/>
                <w:lang w:val="en-US" w:eastAsia="zh-CN" w:bidi="ar"/>
              </w:rPr>
              <w:t>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435"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其他统计类别</w:t>
            </w:r>
          </w:p>
        </w:tc>
        <w:tc>
          <w:tcPr>
            <w:tcW w:w="2980"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default" w:ascii="Times New Roman" w:hAnsi="Times New Roman" w:eastAsia="宋体" w:cs="宋体"/>
                <w:b w:val="0"/>
                <w:bCs/>
                <w:color w:val="0C0C0C"/>
                <w:kern w:val="0"/>
                <w:sz w:val="21"/>
                <w:szCs w:val="21"/>
                <w:highlight w:val="none"/>
                <w:lang w:val="en-US" w:eastAsia="zh-CN" w:bidi="ar"/>
              </w:rPr>
            </w:pPr>
            <w:r>
              <w:rPr>
                <w:rFonts w:hint="eastAsia" w:eastAsia="宋体" w:cs="宋体"/>
                <w:b w:val="0"/>
                <w:bCs/>
                <w:color w:val="0C0C0C"/>
                <w:kern w:val="0"/>
                <w:sz w:val="21"/>
                <w:szCs w:val="21"/>
                <w:highlight w:val="none"/>
                <w:lang w:val="en-US" w:eastAsia="zh-CN" w:bidi="ar"/>
              </w:rPr>
              <w:t>3</w:t>
            </w:r>
          </w:p>
        </w:tc>
        <w:tc>
          <w:tcPr>
            <w:tcW w:w="2425" w:type="dxa"/>
            <w:tcBorders>
              <w:top w:val="nil"/>
              <w:left w:val="single" w:color="auto" w:sz="4" w:space="0"/>
              <w:bottom w:val="single" w:color="auto" w:sz="12" w:space="0"/>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default" w:ascii="Times New Roman" w:hAnsi="Times New Roman" w:eastAsia="宋体" w:cs="宋体"/>
                <w:b w:val="0"/>
                <w:bCs/>
                <w:color w:val="0C0C0C"/>
                <w:kern w:val="0"/>
                <w:sz w:val="21"/>
                <w:szCs w:val="21"/>
                <w:highlight w:val="none"/>
                <w:lang w:val="en-US" w:eastAsia="zh-CN" w:bidi="ar"/>
              </w:rPr>
            </w:pPr>
            <w:r>
              <w:rPr>
                <w:rFonts w:hint="eastAsia" w:eastAsia="宋体" w:cs="宋体"/>
                <w:b w:val="0"/>
                <w:bCs/>
                <w:color w:val="0C0C0C"/>
                <w:kern w:val="0"/>
                <w:sz w:val="21"/>
                <w:szCs w:val="21"/>
                <w:highlight w:val="none"/>
                <w:lang w:val="en-US" w:eastAsia="zh-CN" w:bidi="ar"/>
              </w:rPr>
              <w:t>0.02</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firstLine="0"/>
        <w:jc w:val="both"/>
        <w:textAlignment w:val="auto"/>
        <w:rPr>
          <w:rFonts w:hint="eastAsia" w:ascii="楷体_GB2312" w:hAnsi="楷体_GB2312" w:eastAsia="楷体_GB2312" w:cs="楷体_GB2312"/>
          <w:i w:val="0"/>
          <w:caps w:val="0"/>
          <w:color w:val="0C0C0C"/>
          <w:spacing w:val="0"/>
          <w:kern w:val="0"/>
          <w:sz w:val="32"/>
          <w:szCs w:val="32"/>
          <w:highlight w:val="none"/>
          <w:lang w:bidi="ar"/>
        </w:rPr>
      </w:pPr>
      <w:r>
        <w:rPr>
          <w:rFonts w:hint="eastAsia" w:ascii="楷体_GB2312" w:hAnsi="楷体_GB2312" w:eastAsia="楷体_GB2312" w:cs="楷体_GB2312"/>
          <w:i w:val="0"/>
          <w:caps w:val="0"/>
          <w:color w:val="0C0C0C"/>
          <w:spacing w:val="0"/>
          <w:kern w:val="0"/>
          <w:sz w:val="32"/>
          <w:szCs w:val="32"/>
          <w:highlight w:val="none"/>
          <w:lang w:val="en-US" w:eastAsia="zh-CN" w:bidi="ar"/>
        </w:rPr>
        <w:t>（二）主要经济指标</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08" w:firstLineChars="200"/>
        <w:rPr>
          <w:rFonts w:hint="eastAsia"/>
          <w:lang w:val="en-US" w:eastAsia="zh-CN"/>
        </w:rPr>
      </w:pPr>
      <w:r>
        <w:rPr>
          <w:rFonts w:hint="eastAsia" w:ascii="仿宋_GB2312" w:hAnsi="仿宋_GB2312" w:eastAsia="仿宋_GB2312" w:cs="仿宋_GB2312"/>
          <w:color w:val="0C0C0C"/>
          <w:spacing w:val="-6"/>
          <w:kern w:val="2"/>
          <w:sz w:val="32"/>
          <w:szCs w:val="32"/>
          <w:highlight w:val="none"/>
          <w:u w:val="none"/>
          <w:lang w:val="en-US" w:eastAsia="zh-CN" w:bidi="ar-SA"/>
        </w:rPr>
        <w:t>2023年末，居民服务、修理和其他服务业企业法人单位资产总计</w:t>
      </w:r>
      <w:r>
        <w:rPr>
          <w:rFonts w:hint="eastAsia" w:ascii="仿宋_GB2312" w:hAnsi="仿宋_GB2312" w:eastAsia="仿宋_GB2312" w:cs="仿宋_GB2312"/>
          <w:color w:val="0C0C0C"/>
          <w:sz w:val="32"/>
          <w:szCs w:val="32"/>
          <w:highlight w:val="none"/>
          <w:u w:val="none"/>
          <w:lang w:val="en-US" w:eastAsia="zh-CN"/>
        </w:rPr>
        <w:t>13.29</w:t>
      </w:r>
      <w:r>
        <w:rPr>
          <w:rFonts w:hint="eastAsia" w:ascii="仿宋_GB2312" w:hAnsi="仿宋_GB2312" w:eastAsia="仿宋_GB2312" w:cs="仿宋_GB2312"/>
          <w:color w:val="0C0C0C"/>
          <w:spacing w:val="-6"/>
          <w:kern w:val="2"/>
          <w:sz w:val="32"/>
          <w:szCs w:val="32"/>
          <w:highlight w:val="none"/>
          <w:u w:val="none"/>
          <w:lang w:val="en-US" w:eastAsia="zh-CN" w:bidi="ar-SA"/>
        </w:rPr>
        <w:t>亿元，比2018年末增长</w:t>
      </w:r>
      <w:r>
        <w:rPr>
          <w:rFonts w:hint="eastAsia" w:ascii="仿宋_GB2312" w:hAnsi="仿宋_GB2312" w:eastAsia="仿宋_GB2312" w:cs="仿宋_GB2312"/>
          <w:color w:val="0C0C0C"/>
          <w:sz w:val="32"/>
          <w:szCs w:val="32"/>
          <w:highlight w:val="none"/>
          <w:u w:val="none"/>
          <w:lang w:val="en-US" w:eastAsia="zh-CN"/>
        </w:rPr>
        <w:t>19.2%</w:t>
      </w:r>
      <w:r>
        <w:rPr>
          <w:rFonts w:hint="eastAsia" w:ascii="仿宋_GB2312" w:hAnsi="仿宋_GB2312" w:eastAsia="仿宋_GB2312" w:cs="仿宋_GB2312"/>
          <w:color w:val="0C0C0C"/>
          <w:spacing w:val="-6"/>
          <w:kern w:val="2"/>
          <w:sz w:val="32"/>
          <w:szCs w:val="32"/>
          <w:highlight w:val="none"/>
          <w:u w:val="none"/>
          <w:lang w:val="en-US" w:eastAsia="zh-CN" w:bidi="ar-SA"/>
        </w:rPr>
        <w:t>；负债合计</w:t>
      </w:r>
      <w:r>
        <w:rPr>
          <w:rFonts w:hint="eastAsia" w:ascii="仿宋_GB2312" w:hAnsi="仿宋_GB2312" w:eastAsia="仿宋_GB2312" w:cs="仿宋_GB2312"/>
          <w:color w:val="0C0C0C"/>
          <w:sz w:val="32"/>
          <w:szCs w:val="32"/>
          <w:highlight w:val="none"/>
          <w:u w:val="none"/>
          <w:lang w:val="en-US" w:eastAsia="zh-CN"/>
        </w:rPr>
        <w:t>8.13</w:t>
      </w:r>
      <w:r>
        <w:rPr>
          <w:rFonts w:hint="eastAsia" w:ascii="仿宋_GB2312" w:hAnsi="仿宋_GB2312" w:eastAsia="仿宋_GB2312" w:cs="仿宋_GB2312"/>
          <w:color w:val="0C0C0C"/>
          <w:spacing w:val="-6"/>
          <w:kern w:val="2"/>
          <w:sz w:val="32"/>
          <w:szCs w:val="32"/>
          <w:highlight w:val="none"/>
          <w:u w:val="none"/>
          <w:lang w:val="en-US" w:eastAsia="zh-CN" w:bidi="ar-SA"/>
        </w:rPr>
        <w:t>亿元，比2018年末增长</w:t>
      </w:r>
      <w:r>
        <w:rPr>
          <w:rFonts w:hint="eastAsia" w:ascii="仿宋_GB2312" w:hAnsi="仿宋_GB2312" w:eastAsia="仿宋_GB2312" w:cs="仿宋_GB2312"/>
          <w:color w:val="0C0C0C"/>
          <w:sz w:val="32"/>
          <w:szCs w:val="32"/>
          <w:highlight w:val="none"/>
          <w:u w:val="none"/>
          <w:lang w:val="en-US" w:eastAsia="zh-CN"/>
        </w:rPr>
        <w:t>48.9%</w:t>
      </w:r>
      <w:r>
        <w:rPr>
          <w:rFonts w:hint="eastAsia" w:ascii="仿宋_GB2312" w:hAnsi="仿宋_GB2312" w:eastAsia="仿宋_GB2312" w:cs="仿宋_GB2312"/>
          <w:color w:val="0C0C0C"/>
          <w:spacing w:val="-6"/>
          <w:kern w:val="2"/>
          <w:sz w:val="32"/>
          <w:szCs w:val="32"/>
          <w:highlight w:val="none"/>
          <w:u w:val="none"/>
          <w:lang w:val="en-US" w:eastAsia="zh-CN" w:bidi="ar-SA"/>
        </w:rPr>
        <w:t>。全年实现营业收入</w:t>
      </w:r>
      <w:r>
        <w:rPr>
          <w:rFonts w:hint="eastAsia" w:ascii="仿宋_GB2312" w:hAnsi="仿宋_GB2312" w:eastAsia="仿宋_GB2312" w:cs="仿宋_GB2312"/>
          <w:color w:val="0C0C0C"/>
          <w:sz w:val="32"/>
          <w:szCs w:val="32"/>
          <w:highlight w:val="none"/>
          <w:u w:val="none"/>
          <w:lang w:val="en-US" w:eastAsia="zh-CN"/>
        </w:rPr>
        <w:t>12.03</w:t>
      </w:r>
      <w:r>
        <w:rPr>
          <w:rFonts w:hint="eastAsia" w:ascii="仿宋_GB2312" w:hAnsi="仿宋_GB2312" w:eastAsia="仿宋_GB2312" w:cs="仿宋_GB2312"/>
          <w:color w:val="0C0C0C"/>
          <w:spacing w:val="-6"/>
          <w:kern w:val="2"/>
          <w:sz w:val="32"/>
          <w:szCs w:val="32"/>
          <w:highlight w:val="none"/>
          <w:u w:val="none"/>
          <w:lang w:val="en-US" w:eastAsia="zh-CN" w:bidi="ar-SA"/>
        </w:rPr>
        <w:t>亿元，比2018年增长</w:t>
      </w:r>
      <w:r>
        <w:rPr>
          <w:rFonts w:hint="eastAsia" w:ascii="仿宋_GB2312" w:hAnsi="仿宋_GB2312" w:eastAsia="仿宋_GB2312" w:cs="仿宋_GB2312"/>
          <w:color w:val="0C0C0C"/>
          <w:sz w:val="32"/>
          <w:szCs w:val="32"/>
          <w:highlight w:val="none"/>
          <w:u w:val="none"/>
          <w:lang w:val="en-US" w:eastAsia="zh-CN"/>
        </w:rPr>
        <w:t>71.2%</w:t>
      </w:r>
      <w:r>
        <w:rPr>
          <w:rFonts w:hint="eastAsia" w:ascii="仿宋_GB2312" w:hAnsi="仿宋_GB2312" w:eastAsia="仿宋_GB2312" w:cs="仿宋_GB2312"/>
          <w:color w:val="0C0C0C"/>
          <w:spacing w:val="-6"/>
          <w:kern w:val="2"/>
          <w:sz w:val="32"/>
          <w:szCs w:val="32"/>
          <w:highlight w:val="none"/>
          <w:u w:val="none"/>
          <w:lang w:val="en-US" w:eastAsia="zh-CN" w:bidi="ar-SA"/>
        </w:rPr>
        <w:t>（详见表5-6）。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176" w:afterLines="30" w:afterAutospacing="0" w:line="600" w:lineRule="exact"/>
        <w:ind w:left="0" w:right="0" w:firstLine="0" w:firstLineChars="0"/>
        <w:jc w:val="center"/>
        <w:textAlignment w:val="auto"/>
        <w:rPr>
          <w:rFonts w:hint="eastAsia" w:ascii="宋体" w:hAnsi="宋体" w:eastAsia="宋体" w:cs="宋体"/>
          <w:b/>
          <w:bCs w:val="0"/>
          <w:i w:val="0"/>
          <w:caps w:val="0"/>
          <w:color w:val="0C0C0C"/>
          <w:spacing w:val="0"/>
          <w:kern w:val="0"/>
          <w:sz w:val="24"/>
          <w:szCs w:val="24"/>
          <w:highlight w:val="none"/>
          <w:lang w:val="en-US" w:eastAsia="zh-CN" w:bidi="ar"/>
        </w:rPr>
      </w:pPr>
      <w:r>
        <w:rPr>
          <w:rFonts w:hint="eastAsia" w:ascii="宋体" w:hAnsi="宋体" w:eastAsia="宋体" w:cs="宋体"/>
          <w:b/>
          <w:bCs w:val="0"/>
          <w:i w:val="0"/>
          <w:caps w:val="0"/>
          <w:color w:val="0C0C0C"/>
          <w:spacing w:val="0"/>
          <w:kern w:val="0"/>
          <w:sz w:val="24"/>
          <w:szCs w:val="24"/>
          <w:highlight w:val="none"/>
          <w:lang w:val="en-US" w:eastAsia="zh-CN" w:bidi="ar"/>
        </w:rPr>
        <w:t>表5-6　按行业大类分组的居民服务、修理和其他服务业企业法人单位主要经济指标</w:t>
      </w:r>
    </w:p>
    <w:tbl>
      <w:tblPr>
        <w:tblStyle w:val="10"/>
        <w:tblW w:w="884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383"/>
        <w:gridCol w:w="1500"/>
        <w:gridCol w:w="1468"/>
        <w:gridCol w:w="14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7" w:hRule="atLeast"/>
          <w:jc w:val="center"/>
        </w:trPr>
        <w:tc>
          <w:tcPr>
            <w:tcW w:w="4383"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500"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Times New Roman"/>
                <w:color w:val="0C0C0C"/>
                <w:sz w:val="21"/>
                <w:szCs w:val="24"/>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146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1489"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4383"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1500"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bCs w:val="0"/>
                <w:color w:val="0C0C0C"/>
                <w:kern w:val="0"/>
                <w:sz w:val="21"/>
                <w:szCs w:val="21"/>
                <w:highlight w:val="none"/>
                <w:lang w:val="en-US" w:eastAsia="zh-CN" w:bidi="ar"/>
              </w:rPr>
            </w:pPr>
            <w:r>
              <w:rPr>
                <w:rFonts w:hint="eastAsia" w:ascii="Times New Roman" w:hAnsi="Times New Roman" w:eastAsia="宋体" w:cs="宋体"/>
                <w:b/>
                <w:bCs w:val="0"/>
                <w:color w:val="0C0C0C"/>
                <w:kern w:val="0"/>
                <w:sz w:val="21"/>
                <w:szCs w:val="21"/>
                <w:highlight w:val="none"/>
                <w:lang w:val="en-US" w:eastAsia="zh-CN" w:bidi="ar"/>
              </w:rPr>
              <w:t>13.29</w:t>
            </w:r>
          </w:p>
        </w:tc>
        <w:tc>
          <w:tcPr>
            <w:tcW w:w="1468"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8.13</w:t>
            </w:r>
          </w:p>
        </w:tc>
        <w:tc>
          <w:tcPr>
            <w:tcW w:w="1489"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12.03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4383"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居民服务业</w:t>
            </w:r>
          </w:p>
        </w:tc>
        <w:tc>
          <w:tcPr>
            <w:tcW w:w="1500"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4.34</w:t>
            </w:r>
          </w:p>
        </w:tc>
        <w:tc>
          <w:tcPr>
            <w:tcW w:w="1468"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2.51</w:t>
            </w:r>
          </w:p>
        </w:tc>
        <w:tc>
          <w:tcPr>
            <w:tcW w:w="1489"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3.95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4383"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机动车、电子产品和日用产品修理业</w:t>
            </w:r>
          </w:p>
        </w:tc>
        <w:tc>
          <w:tcPr>
            <w:tcW w:w="1500"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7.55</w:t>
            </w:r>
          </w:p>
        </w:tc>
        <w:tc>
          <w:tcPr>
            <w:tcW w:w="1468"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4.54</w:t>
            </w:r>
          </w:p>
        </w:tc>
        <w:tc>
          <w:tcPr>
            <w:tcW w:w="1489"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6.39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4383"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其他服务业</w:t>
            </w:r>
          </w:p>
        </w:tc>
        <w:tc>
          <w:tcPr>
            <w:tcW w:w="1500"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1.40</w:t>
            </w:r>
          </w:p>
        </w:tc>
        <w:tc>
          <w:tcPr>
            <w:tcW w:w="1468"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1.08</w:t>
            </w:r>
          </w:p>
        </w:tc>
        <w:tc>
          <w:tcPr>
            <w:tcW w:w="1489" w:type="dxa"/>
            <w:tcBorders>
              <w:top w:val="nil"/>
              <w:left w:val="single" w:color="auto" w:sz="4" w:space="0"/>
              <w:bottom w:val="single" w:color="auto" w:sz="12" w:space="0"/>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20" w:lineRule="exact"/>
              <w:ind w:right="0" w:firstLine="0" w:firstLineChars="0"/>
              <w:jc w:val="center"/>
              <w:textAlignment w:val="auto"/>
              <w:rPr>
                <w:rFonts w:hint="eastAsia" w:ascii="Times New Roman" w:hAnsi="Times New Roman" w:eastAsia="宋体" w:cs="宋体"/>
                <w:b w:val="0"/>
                <w:bCs/>
                <w:color w:val="0C0C0C"/>
                <w:kern w:val="0"/>
                <w:sz w:val="21"/>
                <w:szCs w:val="21"/>
                <w:highlight w:val="none"/>
                <w:lang w:val="en" w:eastAsia="zh-CN" w:bidi="ar"/>
              </w:rPr>
            </w:pPr>
            <w:r>
              <w:rPr>
                <w:rFonts w:hint="eastAsia" w:ascii="Times New Roman" w:hAnsi="Times New Roman" w:eastAsia="宋体" w:cs="宋体"/>
                <w:b w:val="0"/>
                <w:bCs/>
                <w:color w:val="0C0C0C"/>
                <w:kern w:val="0"/>
                <w:sz w:val="21"/>
                <w:szCs w:val="21"/>
                <w:highlight w:val="none"/>
                <w:lang w:val="en-US" w:eastAsia="zh-CN" w:bidi="ar"/>
              </w:rPr>
              <w:t>1.70</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firstLine="632" w:firstLineChars="200"/>
        <w:jc w:val="both"/>
        <w:textAlignment w:val="auto"/>
        <w:rPr>
          <w:rFonts w:hint="eastAsia" w:ascii="黑体" w:hAnsi="黑体" w:eastAsia="黑体" w:cs="黑体"/>
          <w:b w:val="0"/>
          <w:bCs/>
          <w:i w:val="0"/>
          <w:caps w:val="0"/>
          <w:color w:val="auto"/>
          <w:spacing w:val="0"/>
          <w:kern w:val="0"/>
          <w:sz w:val="32"/>
          <w:szCs w:val="32"/>
          <w:highlight w:val="none"/>
          <w:lang w:val="en-US" w:eastAsia="zh-CN" w:bidi="ar"/>
        </w:rPr>
      </w:pPr>
      <w:r>
        <w:rPr>
          <w:rFonts w:hint="eastAsia" w:ascii="黑体" w:hAnsi="黑体" w:eastAsia="黑体" w:cs="黑体"/>
          <w:b w:val="0"/>
          <w:bCs/>
          <w:i w:val="0"/>
          <w:caps w:val="0"/>
          <w:color w:val="auto"/>
          <w:spacing w:val="0"/>
          <w:kern w:val="0"/>
          <w:sz w:val="32"/>
          <w:szCs w:val="32"/>
          <w:highlight w:val="none"/>
          <w:lang w:val="en-US" w:eastAsia="zh-CN" w:bidi="ar"/>
        </w:rPr>
        <w:t>四、教育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楷体_GB2312" w:hAnsi="楷体_GB2312" w:eastAsia="楷体_GB2312" w:cs="楷体_GB2312"/>
          <w:i w:val="0"/>
          <w:caps w:val="0"/>
          <w:color w:val="auto"/>
          <w:spacing w:val="0"/>
          <w:kern w:val="0"/>
          <w:sz w:val="32"/>
          <w:szCs w:val="32"/>
          <w:highlight w:val="none"/>
          <w:lang w:val="en-US" w:eastAsia="zh-CN" w:bidi="ar"/>
        </w:rPr>
      </w:pPr>
      <w:r>
        <w:rPr>
          <w:rFonts w:hint="eastAsia" w:ascii="楷体_GB2312" w:hAnsi="楷体_GB2312" w:eastAsia="楷体_GB2312" w:cs="楷体_GB2312"/>
          <w:i w:val="0"/>
          <w:caps w:val="0"/>
          <w:color w:val="auto"/>
          <w:spacing w:val="0"/>
          <w:kern w:val="0"/>
          <w:sz w:val="32"/>
          <w:szCs w:val="32"/>
          <w:highlight w:val="none"/>
          <w:lang w:val="en-US" w:eastAsia="zh-CN" w:bidi="ar"/>
        </w:rPr>
        <w:t>（一）法人单位数和从业人员</w:t>
      </w:r>
    </w:p>
    <w:p>
      <w:pPr>
        <w:pStyle w:val="4"/>
        <w:keepNext w:val="0"/>
        <w:keepLines w:val="0"/>
        <w:pageBreakBefore w:val="0"/>
        <w:widowControl w:val="0"/>
        <w:kinsoku/>
        <w:wordWrap/>
        <w:overflowPunct/>
        <w:topLinePunct w:val="0"/>
        <w:autoSpaceDE/>
        <w:autoSpaceDN/>
        <w:bidi w:val="0"/>
        <w:adjustRightInd/>
        <w:snapToGrid/>
        <w:spacing w:line="580" w:lineRule="exact"/>
        <w:ind w:firstLine="632"/>
        <w:textAlignment w:val="center"/>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2023年末，全区共有教育法人单位</w:t>
      </w:r>
      <w:r>
        <w:rPr>
          <w:rFonts w:hint="eastAsia" w:ascii="仿宋_GB2312" w:hAnsi="仿宋_GB2312" w:eastAsia="仿宋_GB2312" w:cs="仿宋_GB2312"/>
          <w:color w:val="auto"/>
          <w:sz w:val="32"/>
          <w:szCs w:val="32"/>
          <w:highlight w:val="none"/>
          <w:u w:val="none"/>
          <w:lang w:val="en-US" w:eastAsia="zh-CN"/>
        </w:rPr>
        <w:t>674</w:t>
      </w:r>
      <w:r>
        <w:rPr>
          <w:rFonts w:hint="eastAsia" w:ascii="仿宋_GB2312" w:hAnsi="仿宋_GB2312" w:eastAsia="仿宋_GB2312" w:cs="仿宋_GB2312"/>
          <w:color w:val="auto"/>
          <w:spacing w:val="-6"/>
          <w:kern w:val="2"/>
          <w:sz w:val="32"/>
          <w:szCs w:val="32"/>
          <w:highlight w:val="none"/>
          <w:u w:val="none"/>
          <w:lang w:val="en-US" w:eastAsia="zh-CN" w:bidi="ar-SA"/>
        </w:rPr>
        <w:t>个，从业人员1.10万人，分别比2018年末增长71.9%和50.7%。其中，行政事业及非企业法人单位</w:t>
      </w:r>
      <w:r>
        <w:rPr>
          <w:rFonts w:hint="eastAsia" w:ascii="仿宋_GB2312" w:hAnsi="仿宋_GB2312" w:eastAsia="仿宋_GB2312" w:cs="仿宋_GB2312"/>
          <w:color w:val="auto"/>
          <w:sz w:val="32"/>
          <w:szCs w:val="32"/>
          <w:highlight w:val="none"/>
          <w:u w:val="none"/>
          <w:lang w:val="en-US" w:eastAsia="zh-CN"/>
        </w:rPr>
        <w:t>170</w:t>
      </w:r>
      <w:r>
        <w:rPr>
          <w:rFonts w:hint="eastAsia" w:ascii="仿宋_GB2312" w:hAnsi="仿宋_GB2312" w:eastAsia="仿宋_GB2312" w:cs="仿宋_GB2312"/>
          <w:color w:val="auto"/>
          <w:spacing w:val="-6"/>
          <w:kern w:val="2"/>
          <w:sz w:val="32"/>
          <w:szCs w:val="32"/>
          <w:highlight w:val="none"/>
          <w:u w:val="none"/>
          <w:lang w:val="en-US" w:eastAsia="zh-CN" w:bidi="ar-SA"/>
        </w:rPr>
        <w:t>个，从业人员</w:t>
      </w:r>
      <w:r>
        <w:rPr>
          <w:rFonts w:hint="eastAsia" w:ascii="仿宋_GB2312" w:hAnsi="仿宋_GB2312" w:eastAsia="仿宋_GB2312" w:cs="仿宋_GB2312"/>
          <w:color w:val="auto"/>
          <w:sz w:val="32"/>
          <w:szCs w:val="32"/>
          <w:highlight w:val="none"/>
          <w:u w:val="none"/>
          <w:lang w:val="en-US" w:eastAsia="zh-CN"/>
        </w:rPr>
        <w:t>0.84</w:t>
      </w:r>
      <w:r>
        <w:rPr>
          <w:rFonts w:hint="eastAsia" w:ascii="仿宋_GB2312" w:hAnsi="仿宋_GB2312" w:eastAsia="仿宋_GB2312" w:cs="仿宋_GB2312"/>
          <w:color w:val="auto"/>
          <w:spacing w:val="-6"/>
          <w:kern w:val="2"/>
          <w:sz w:val="32"/>
          <w:szCs w:val="32"/>
          <w:highlight w:val="none"/>
          <w:u w:val="none"/>
          <w:lang w:val="en-US" w:eastAsia="zh-CN" w:bidi="ar-SA"/>
        </w:rPr>
        <w:t>万人。</w:t>
      </w:r>
    </w:p>
    <w:p>
      <w:pPr>
        <w:pStyle w:val="4"/>
        <w:keepNext w:val="0"/>
        <w:keepLines w:val="0"/>
        <w:pageBreakBefore w:val="0"/>
        <w:kinsoku/>
        <w:wordWrap/>
        <w:overflowPunct/>
        <w:topLinePunct w:val="0"/>
        <w:autoSpaceDE/>
        <w:autoSpaceDN/>
        <w:bidi w:val="0"/>
        <w:adjustRightInd/>
        <w:snapToGrid/>
        <w:spacing w:line="580" w:lineRule="exact"/>
        <w:ind w:firstLine="632"/>
        <w:rPr>
          <w:rFonts w:hint="eastAsia" w:ascii="楷体_GB2312" w:hAnsi="楷体_GB2312" w:eastAsia="楷体_GB2312" w:cs="楷体_GB2312"/>
          <w:color w:val="auto"/>
          <w:spacing w:val="-6"/>
          <w:kern w:val="2"/>
          <w:sz w:val="32"/>
          <w:szCs w:val="32"/>
          <w:highlight w:val="none"/>
          <w:u w:val="none"/>
          <w:lang w:val="en-US" w:eastAsia="zh-CN" w:bidi="ar-SA"/>
        </w:rPr>
      </w:pPr>
      <w:r>
        <w:rPr>
          <w:rFonts w:hint="eastAsia" w:ascii="楷体_GB2312" w:hAnsi="楷体_GB2312" w:eastAsia="楷体_GB2312" w:cs="楷体_GB2312"/>
          <w:color w:val="auto"/>
          <w:spacing w:val="-6"/>
          <w:kern w:val="2"/>
          <w:sz w:val="32"/>
          <w:szCs w:val="32"/>
          <w:highlight w:val="none"/>
          <w:u w:val="none"/>
          <w:lang w:val="en-US" w:eastAsia="zh-CN" w:bidi="ar-SA"/>
        </w:rPr>
        <w:t>（二）主要经济指标</w:t>
      </w:r>
    </w:p>
    <w:p>
      <w:pPr>
        <w:pStyle w:val="4"/>
        <w:keepNext w:val="0"/>
        <w:keepLines w:val="0"/>
        <w:pageBreakBefore w:val="0"/>
        <w:widowControl/>
        <w:kinsoku/>
        <w:wordWrap/>
        <w:overflowPunct/>
        <w:topLinePunct w:val="0"/>
        <w:autoSpaceDE/>
        <w:autoSpaceDN/>
        <w:bidi w:val="0"/>
        <w:adjustRightInd/>
        <w:snapToGrid/>
        <w:spacing w:line="580" w:lineRule="exact"/>
        <w:ind w:left="0" w:leftChars="0" w:firstLine="632" w:firstLineChars="0"/>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2023年末，教育企业法人单位资产总计</w:t>
      </w:r>
      <w:r>
        <w:rPr>
          <w:rFonts w:hint="eastAsia" w:ascii="仿宋_GB2312" w:hAnsi="仿宋_GB2312" w:eastAsia="仿宋_GB2312" w:cs="仿宋_GB2312"/>
          <w:color w:val="auto"/>
          <w:sz w:val="32"/>
          <w:szCs w:val="32"/>
          <w:highlight w:val="none"/>
          <w:u w:val="none"/>
          <w:lang w:val="en-US" w:eastAsia="zh-CN"/>
        </w:rPr>
        <w:t>5.05</w:t>
      </w:r>
      <w:r>
        <w:rPr>
          <w:rFonts w:hint="eastAsia" w:ascii="仿宋_GB2312" w:hAnsi="仿宋_GB2312" w:eastAsia="仿宋_GB2312" w:cs="仿宋_GB2312"/>
          <w:color w:val="auto"/>
          <w:spacing w:val="-6"/>
          <w:kern w:val="2"/>
          <w:sz w:val="32"/>
          <w:szCs w:val="32"/>
          <w:highlight w:val="none"/>
          <w:u w:val="none"/>
          <w:lang w:val="en-US" w:eastAsia="zh-CN" w:bidi="ar-SA"/>
        </w:rPr>
        <w:t>亿元，比2018年末增长</w:t>
      </w:r>
      <w:r>
        <w:rPr>
          <w:rFonts w:hint="eastAsia" w:ascii="仿宋_GB2312" w:hAnsi="仿宋_GB2312" w:eastAsia="仿宋_GB2312" w:cs="仿宋_GB2312"/>
          <w:color w:val="auto"/>
          <w:sz w:val="32"/>
          <w:szCs w:val="32"/>
          <w:highlight w:val="none"/>
          <w:u w:val="none"/>
          <w:lang w:val="en-US" w:eastAsia="zh-CN"/>
        </w:rPr>
        <w:t>44.7%</w:t>
      </w:r>
      <w:r>
        <w:rPr>
          <w:rFonts w:hint="eastAsia" w:ascii="仿宋_GB2312" w:hAnsi="仿宋_GB2312" w:eastAsia="仿宋_GB2312" w:cs="仿宋_GB2312"/>
          <w:color w:val="auto"/>
          <w:spacing w:val="-6"/>
          <w:kern w:val="2"/>
          <w:sz w:val="32"/>
          <w:szCs w:val="32"/>
          <w:highlight w:val="none"/>
          <w:u w:val="none"/>
          <w:lang w:val="en-US" w:eastAsia="zh-CN" w:bidi="ar-SA"/>
        </w:rPr>
        <w:t>；负债合计</w:t>
      </w:r>
      <w:r>
        <w:rPr>
          <w:rFonts w:hint="eastAsia" w:ascii="仿宋_GB2312" w:hAnsi="仿宋_GB2312" w:eastAsia="仿宋_GB2312" w:cs="仿宋_GB2312"/>
          <w:color w:val="auto"/>
          <w:sz w:val="32"/>
          <w:szCs w:val="32"/>
          <w:highlight w:val="none"/>
          <w:u w:val="none"/>
          <w:lang w:val="en-US" w:eastAsia="zh-CN"/>
        </w:rPr>
        <w:t>3.79</w:t>
      </w:r>
      <w:r>
        <w:rPr>
          <w:rFonts w:hint="eastAsia" w:ascii="仿宋_GB2312" w:hAnsi="仿宋_GB2312" w:eastAsia="仿宋_GB2312" w:cs="仿宋_GB2312"/>
          <w:color w:val="auto"/>
          <w:spacing w:val="-6"/>
          <w:kern w:val="2"/>
          <w:sz w:val="32"/>
          <w:szCs w:val="32"/>
          <w:highlight w:val="none"/>
          <w:u w:val="none"/>
          <w:lang w:val="en-US" w:eastAsia="zh-CN" w:bidi="ar-SA"/>
        </w:rPr>
        <w:t>亿元，比2018年末增长</w:t>
      </w:r>
      <w:r>
        <w:rPr>
          <w:rFonts w:hint="eastAsia" w:ascii="仿宋_GB2312" w:hAnsi="仿宋_GB2312" w:eastAsia="仿宋_GB2312" w:cs="仿宋_GB2312"/>
          <w:color w:val="auto"/>
          <w:sz w:val="32"/>
          <w:szCs w:val="32"/>
          <w:highlight w:val="none"/>
          <w:u w:val="none"/>
          <w:lang w:val="en-US" w:eastAsia="zh-CN"/>
        </w:rPr>
        <w:t>1.1倍</w:t>
      </w:r>
      <w:r>
        <w:rPr>
          <w:rFonts w:hint="eastAsia" w:ascii="仿宋_GB2312" w:hAnsi="仿宋_GB2312" w:eastAsia="仿宋_GB2312" w:cs="仿宋_GB2312"/>
          <w:color w:val="auto"/>
          <w:spacing w:val="-6"/>
          <w:kern w:val="2"/>
          <w:sz w:val="32"/>
          <w:szCs w:val="32"/>
          <w:highlight w:val="none"/>
          <w:u w:val="none"/>
          <w:lang w:val="en-US" w:eastAsia="zh-CN" w:bidi="ar-SA"/>
        </w:rPr>
        <w:t>。全年实现营业收入</w:t>
      </w:r>
      <w:r>
        <w:rPr>
          <w:rFonts w:hint="eastAsia" w:ascii="仿宋_GB2312" w:hAnsi="仿宋_GB2312" w:eastAsia="仿宋_GB2312" w:cs="仿宋_GB2312"/>
          <w:color w:val="auto"/>
          <w:sz w:val="32"/>
          <w:szCs w:val="32"/>
          <w:highlight w:val="none"/>
          <w:u w:val="none"/>
          <w:lang w:val="en-US" w:eastAsia="zh-CN"/>
        </w:rPr>
        <w:t>5.50</w:t>
      </w:r>
      <w:r>
        <w:rPr>
          <w:rFonts w:hint="eastAsia" w:ascii="仿宋_GB2312" w:hAnsi="仿宋_GB2312" w:eastAsia="仿宋_GB2312" w:cs="仿宋_GB2312"/>
          <w:color w:val="auto"/>
          <w:spacing w:val="-6"/>
          <w:kern w:val="2"/>
          <w:sz w:val="32"/>
          <w:szCs w:val="32"/>
          <w:highlight w:val="none"/>
          <w:u w:val="none"/>
          <w:lang w:val="en-US" w:eastAsia="zh-CN" w:bidi="ar-SA"/>
        </w:rPr>
        <w:t>亿元，比2018年增长</w:t>
      </w:r>
      <w:r>
        <w:rPr>
          <w:rFonts w:hint="eastAsia" w:ascii="仿宋_GB2312" w:hAnsi="仿宋_GB2312" w:eastAsia="仿宋_GB2312" w:cs="仿宋_GB2312"/>
          <w:color w:val="auto"/>
          <w:sz w:val="32"/>
          <w:szCs w:val="32"/>
          <w:highlight w:val="none"/>
          <w:u w:val="none"/>
          <w:lang w:val="en-US" w:eastAsia="zh-CN"/>
        </w:rPr>
        <w:t>2.1倍</w:t>
      </w:r>
      <w:r>
        <w:rPr>
          <w:rFonts w:hint="eastAsia" w:ascii="仿宋_GB2312" w:hAnsi="仿宋_GB2312" w:eastAsia="仿宋_GB2312" w:cs="仿宋_GB2312"/>
          <w:color w:val="auto"/>
          <w:spacing w:val="-6"/>
          <w:kern w:val="2"/>
          <w:sz w:val="32"/>
          <w:szCs w:val="32"/>
          <w:highlight w:val="none"/>
          <w:u w:val="none"/>
          <w:lang w:val="en-US" w:eastAsia="zh-CN" w:bidi="ar-SA"/>
        </w:rPr>
        <w:t>。</w:t>
      </w:r>
    </w:p>
    <w:p>
      <w:pPr>
        <w:pStyle w:val="4"/>
        <w:keepNext w:val="0"/>
        <w:keepLines w:val="0"/>
        <w:pageBreakBefore w:val="0"/>
        <w:kinsoku/>
        <w:wordWrap/>
        <w:overflowPunct/>
        <w:topLinePunct w:val="0"/>
        <w:autoSpaceDE/>
        <w:autoSpaceDN/>
        <w:bidi w:val="0"/>
        <w:adjustRightInd/>
        <w:snapToGrid/>
        <w:spacing w:line="580" w:lineRule="exact"/>
        <w:ind w:firstLine="632"/>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行政事业及非企业法人单位年末资产</w:t>
      </w:r>
      <w:r>
        <w:rPr>
          <w:rFonts w:hint="eastAsia" w:ascii="仿宋_GB2312" w:hAnsi="仿宋_GB2312" w:eastAsia="仿宋_GB2312" w:cs="仿宋_GB2312"/>
          <w:color w:val="auto"/>
          <w:sz w:val="32"/>
          <w:szCs w:val="32"/>
          <w:highlight w:val="none"/>
          <w:u w:val="none"/>
          <w:lang w:val="en-US" w:eastAsia="zh-CN"/>
        </w:rPr>
        <w:t>47.24</w:t>
      </w:r>
      <w:r>
        <w:rPr>
          <w:rFonts w:hint="eastAsia" w:ascii="仿宋_GB2312" w:hAnsi="仿宋_GB2312" w:eastAsia="仿宋_GB2312" w:cs="仿宋_GB2312"/>
          <w:color w:val="auto"/>
          <w:spacing w:val="-6"/>
          <w:kern w:val="2"/>
          <w:sz w:val="32"/>
          <w:szCs w:val="32"/>
          <w:highlight w:val="none"/>
          <w:u w:val="none"/>
          <w:lang w:val="en-US" w:eastAsia="zh-CN" w:bidi="ar-SA"/>
        </w:rPr>
        <w:t>亿元。本年支出（费用）合计</w:t>
      </w:r>
      <w:r>
        <w:rPr>
          <w:rFonts w:hint="eastAsia" w:ascii="仿宋_GB2312" w:hAnsi="仿宋_GB2312" w:eastAsia="仿宋_GB2312" w:cs="仿宋_GB2312"/>
          <w:color w:val="auto"/>
          <w:sz w:val="32"/>
          <w:szCs w:val="32"/>
          <w:highlight w:val="none"/>
          <w:u w:val="none"/>
          <w:lang w:val="en-US" w:eastAsia="zh-CN"/>
        </w:rPr>
        <w:t>25.71</w:t>
      </w:r>
      <w:r>
        <w:rPr>
          <w:rFonts w:hint="eastAsia" w:ascii="仿宋_GB2312" w:hAnsi="仿宋_GB2312" w:eastAsia="仿宋_GB2312" w:cs="仿宋_GB2312"/>
          <w:color w:val="auto"/>
          <w:spacing w:val="-6"/>
          <w:kern w:val="2"/>
          <w:sz w:val="32"/>
          <w:szCs w:val="32"/>
          <w:highlight w:val="none"/>
          <w:u w:val="none"/>
          <w:lang w:val="en-US" w:eastAsia="zh-CN" w:bidi="ar-SA"/>
        </w:rPr>
        <w:t>亿元，比2018年增长</w:t>
      </w:r>
      <w:r>
        <w:rPr>
          <w:rFonts w:hint="eastAsia" w:ascii="仿宋_GB2312" w:hAnsi="仿宋_GB2312" w:eastAsia="仿宋_GB2312" w:cs="仿宋_GB2312"/>
          <w:color w:val="auto"/>
          <w:sz w:val="32"/>
          <w:szCs w:val="32"/>
          <w:highlight w:val="none"/>
          <w:u w:val="none"/>
          <w:lang w:val="en-US" w:eastAsia="zh-CN"/>
        </w:rPr>
        <w:t>83.7%</w:t>
      </w:r>
      <w:r>
        <w:rPr>
          <w:rFonts w:hint="eastAsia" w:ascii="仿宋_GB2312" w:hAnsi="仿宋_GB2312" w:eastAsia="仿宋_GB2312" w:cs="仿宋_GB2312"/>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32"/>
        <w:jc w:val="both"/>
        <w:textAlignment w:val="auto"/>
        <w:rPr>
          <w:rFonts w:hint="eastAsia" w:ascii="黑体" w:hAnsi="黑体" w:eastAsia="黑体" w:cs="黑体"/>
          <w:i w:val="0"/>
          <w:caps w:val="0"/>
          <w:color w:val="0C0C0C"/>
          <w:spacing w:val="0"/>
          <w:sz w:val="32"/>
          <w:szCs w:val="32"/>
          <w:highlight w:val="none"/>
        </w:rPr>
      </w:pPr>
      <w:r>
        <w:rPr>
          <w:rFonts w:hint="eastAsia" w:ascii="黑体" w:hAnsi="黑体" w:eastAsia="黑体" w:cs="黑体"/>
          <w:b w:val="0"/>
          <w:bCs/>
          <w:i w:val="0"/>
          <w:caps w:val="0"/>
          <w:color w:val="0C0C0C"/>
          <w:spacing w:val="0"/>
          <w:kern w:val="0"/>
          <w:sz w:val="32"/>
          <w:szCs w:val="32"/>
          <w:highlight w:val="none"/>
          <w:lang w:val="en-US" w:eastAsia="zh-CN" w:bidi="ar"/>
        </w:rPr>
        <w:t>五、卫生和社会工作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32"/>
        <w:jc w:val="both"/>
        <w:textAlignment w:val="auto"/>
        <w:rPr>
          <w:rFonts w:hint="eastAsia" w:ascii="楷体_GB2312" w:hAnsi="楷体_GB2312" w:eastAsia="楷体_GB2312" w:cs="楷体_GB2312"/>
          <w:i w:val="0"/>
          <w:caps w:val="0"/>
          <w:color w:val="auto"/>
          <w:spacing w:val="0"/>
          <w:kern w:val="0"/>
          <w:sz w:val="32"/>
          <w:szCs w:val="32"/>
          <w:highlight w:val="none"/>
          <w:lang w:bidi="ar"/>
        </w:rPr>
      </w:pPr>
      <w:r>
        <w:rPr>
          <w:rFonts w:hint="eastAsia" w:ascii="楷体_GB2312" w:hAnsi="楷体_GB2312" w:eastAsia="楷体_GB2312" w:cs="楷体_GB2312"/>
          <w:i w:val="0"/>
          <w:caps w:val="0"/>
          <w:color w:val="auto"/>
          <w:spacing w:val="0"/>
          <w:kern w:val="0"/>
          <w:sz w:val="32"/>
          <w:szCs w:val="32"/>
          <w:highlight w:val="none"/>
          <w:lang w:val="en-US" w:eastAsia="zh-CN" w:bidi="ar"/>
        </w:rPr>
        <w:t>（一）法人单位数和从业人员</w:t>
      </w:r>
    </w:p>
    <w:p>
      <w:pPr>
        <w:pStyle w:val="4"/>
        <w:keepNext w:val="0"/>
        <w:keepLines w:val="0"/>
        <w:pageBreakBefore w:val="0"/>
        <w:kinsoku/>
        <w:wordWrap/>
        <w:overflowPunct/>
        <w:topLinePunct w:val="0"/>
        <w:autoSpaceDE/>
        <w:autoSpaceDN/>
        <w:bidi w:val="0"/>
        <w:adjustRightInd/>
        <w:snapToGrid/>
        <w:spacing w:line="580" w:lineRule="exact"/>
        <w:ind w:firstLine="632"/>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2023年末，全区共有卫生和社会工作法人单位</w:t>
      </w:r>
      <w:r>
        <w:rPr>
          <w:rFonts w:hint="eastAsia" w:ascii="仿宋_GB2312" w:hAnsi="仿宋_GB2312" w:eastAsia="仿宋_GB2312" w:cs="仿宋_GB2312"/>
          <w:color w:val="auto"/>
          <w:sz w:val="32"/>
          <w:szCs w:val="32"/>
          <w:highlight w:val="none"/>
          <w:u w:val="none"/>
          <w:lang w:val="en-US" w:eastAsia="zh-CN"/>
        </w:rPr>
        <w:t>149</w:t>
      </w:r>
      <w:r>
        <w:rPr>
          <w:rFonts w:hint="eastAsia" w:ascii="仿宋_GB2312" w:hAnsi="仿宋_GB2312" w:eastAsia="仿宋_GB2312" w:cs="仿宋_GB2312"/>
          <w:color w:val="auto"/>
          <w:spacing w:val="-6"/>
          <w:kern w:val="2"/>
          <w:sz w:val="32"/>
          <w:szCs w:val="32"/>
          <w:highlight w:val="none"/>
          <w:u w:val="none"/>
          <w:lang w:val="en-US" w:eastAsia="zh-CN" w:bidi="ar-SA"/>
        </w:rPr>
        <w:t>个，从业人员</w:t>
      </w:r>
      <w:r>
        <w:rPr>
          <w:rFonts w:hint="eastAsia" w:ascii="仿宋_GB2312" w:hAnsi="仿宋_GB2312" w:eastAsia="仿宋_GB2312" w:cs="仿宋_GB2312"/>
          <w:color w:val="auto"/>
          <w:sz w:val="32"/>
          <w:szCs w:val="32"/>
          <w:highlight w:val="none"/>
          <w:u w:val="none"/>
          <w:lang w:val="en-US" w:eastAsia="zh-CN"/>
        </w:rPr>
        <w:t>0.47万</w:t>
      </w:r>
      <w:r>
        <w:rPr>
          <w:rFonts w:hint="eastAsia" w:ascii="仿宋_GB2312" w:hAnsi="仿宋_GB2312" w:eastAsia="仿宋_GB2312" w:cs="仿宋_GB2312"/>
          <w:color w:val="auto"/>
          <w:spacing w:val="-6"/>
          <w:kern w:val="2"/>
          <w:sz w:val="32"/>
          <w:szCs w:val="32"/>
          <w:highlight w:val="none"/>
          <w:u w:val="none"/>
          <w:lang w:val="en-US" w:eastAsia="zh-CN" w:bidi="ar-SA"/>
        </w:rPr>
        <w:t>人，分别比2018年末增长</w:t>
      </w:r>
      <w:r>
        <w:rPr>
          <w:rFonts w:hint="eastAsia" w:ascii="仿宋_GB2312" w:hAnsi="仿宋_GB2312" w:eastAsia="仿宋_GB2312" w:cs="仿宋_GB2312"/>
          <w:color w:val="auto"/>
          <w:sz w:val="32"/>
          <w:szCs w:val="32"/>
          <w:highlight w:val="none"/>
          <w:u w:val="none"/>
          <w:lang w:val="en-US" w:eastAsia="zh-CN"/>
        </w:rPr>
        <w:t>129.2%</w:t>
      </w:r>
      <w:r>
        <w:rPr>
          <w:rFonts w:hint="eastAsia" w:ascii="仿宋_GB2312" w:hAnsi="仿宋_GB2312" w:eastAsia="仿宋_GB2312" w:cs="仿宋_GB2312"/>
          <w:color w:val="auto"/>
          <w:spacing w:val="-6"/>
          <w:kern w:val="2"/>
          <w:sz w:val="32"/>
          <w:szCs w:val="32"/>
          <w:highlight w:val="none"/>
          <w:u w:val="none"/>
          <w:lang w:val="en-US" w:eastAsia="zh-CN" w:bidi="ar-SA"/>
        </w:rPr>
        <w:t>和</w:t>
      </w:r>
      <w:r>
        <w:rPr>
          <w:rFonts w:hint="eastAsia" w:ascii="仿宋_GB2312" w:hAnsi="仿宋_GB2312" w:eastAsia="仿宋_GB2312" w:cs="仿宋_GB2312"/>
          <w:color w:val="auto"/>
          <w:sz w:val="32"/>
          <w:szCs w:val="32"/>
          <w:highlight w:val="none"/>
          <w:u w:val="none"/>
          <w:lang w:val="en-US" w:eastAsia="zh-CN"/>
        </w:rPr>
        <w:t>32.5%</w:t>
      </w:r>
      <w:r>
        <w:rPr>
          <w:rFonts w:hint="eastAsia" w:ascii="仿宋_GB2312" w:hAnsi="仿宋_GB2312" w:eastAsia="仿宋_GB2312" w:cs="仿宋_GB2312"/>
          <w:color w:val="auto"/>
          <w:spacing w:val="-6"/>
          <w:kern w:val="2"/>
          <w:sz w:val="32"/>
          <w:szCs w:val="32"/>
          <w:highlight w:val="none"/>
          <w:u w:val="none"/>
          <w:lang w:val="en-US" w:eastAsia="zh-CN" w:bidi="ar-SA"/>
        </w:rPr>
        <w:t>。其中，行政事业及非企业法人单位</w:t>
      </w:r>
      <w:r>
        <w:rPr>
          <w:rFonts w:hint="eastAsia" w:ascii="仿宋_GB2312" w:hAnsi="仿宋_GB2312" w:eastAsia="仿宋_GB2312" w:cs="仿宋_GB2312"/>
          <w:color w:val="auto"/>
          <w:sz w:val="32"/>
          <w:szCs w:val="32"/>
          <w:highlight w:val="none"/>
          <w:u w:val="none"/>
          <w:lang w:val="en-US" w:eastAsia="zh-CN"/>
        </w:rPr>
        <w:t>32</w:t>
      </w:r>
      <w:r>
        <w:rPr>
          <w:rFonts w:hint="eastAsia" w:ascii="仿宋_GB2312" w:hAnsi="仿宋_GB2312" w:eastAsia="仿宋_GB2312" w:cs="仿宋_GB2312"/>
          <w:color w:val="auto"/>
          <w:spacing w:val="-6"/>
          <w:kern w:val="2"/>
          <w:sz w:val="32"/>
          <w:szCs w:val="32"/>
          <w:highlight w:val="none"/>
          <w:u w:val="none"/>
          <w:lang w:val="en-US" w:eastAsia="zh-CN" w:bidi="ar-SA"/>
        </w:rPr>
        <w:t>个；从业人员</w:t>
      </w:r>
      <w:r>
        <w:rPr>
          <w:rFonts w:hint="eastAsia" w:ascii="仿宋_GB2312" w:hAnsi="仿宋_GB2312" w:eastAsia="仿宋_GB2312" w:cs="仿宋_GB2312"/>
          <w:color w:val="auto"/>
          <w:sz w:val="32"/>
          <w:szCs w:val="32"/>
          <w:highlight w:val="none"/>
          <w:u w:val="none"/>
          <w:lang w:val="en-US" w:eastAsia="zh-CN"/>
        </w:rPr>
        <w:t>0.23</w:t>
      </w:r>
      <w:r>
        <w:rPr>
          <w:rFonts w:hint="eastAsia" w:ascii="仿宋_GB2312" w:hAnsi="仿宋_GB2312" w:eastAsia="仿宋_GB2312" w:cs="仿宋_GB2312"/>
          <w:color w:val="auto"/>
          <w:spacing w:val="-6"/>
          <w:kern w:val="2"/>
          <w:sz w:val="32"/>
          <w:szCs w:val="32"/>
          <w:highlight w:val="none"/>
          <w:u w:val="none"/>
          <w:lang w:val="en-US" w:eastAsia="zh-CN" w:bidi="ar-SA"/>
        </w:rPr>
        <w:t>万人。</w:t>
      </w:r>
    </w:p>
    <w:p>
      <w:pPr>
        <w:keepNext w:val="0"/>
        <w:keepLines w:val="0"/>
        <w:pageBreakBefore w:val="0"/>
        <w:kinsoku/>
        <w:wordWrap/>
        <w:overflowPunct/>
        <w:topLinePunct w:val="0"/>
        <w:autoSpaceDE/>
        <w:autoSpaceDN/>
        <w:bidi w:val="0"/>
        <w:adjustRightInd/>
        <w:snapToGrid/>
        <w:spacing w:line="580" w:lineRule="exact"/>
        <w:ind w:firstLine="632"/>
        <w:rPr>
          <w:rFonts w:hint="eastAsia" w:ascii="楷体_GB2312" w:hAnsi="楷体_GB2312" w:eastAsia="楷体_GB2312" w:cs="楷体_GB2312"/>
          <w:color w:val="0C0C0C"/>
          <w:sz w:val="32"/>
          <w:szCs w:val="32"/>
          <w:lang w:val="en-US" w:eastAsia="zh-CN"/>
        </w:rPr>
      </w:pPr>
      <w:r>
        <w:rPr>
          <w:rFonts w:hint="eastAsia" w:ascii="楷体_GB2312" w:hAnsi="楷体_GB2312" w:eastAsia="楷体_GB2312" w:cs="楷体_GB2312"/>
          <w:color w:val="0C0C0C"/>
          <w:spacing w:val="-6"/>
          <w:kern w:val="2"/>
          <w:sz w:val="32"/>
          <w:szCs w:val="32"/>
          <w:u w:val="none"/>
          <w:lang w:val="en-US" w:eastAsia="zh-CN" w:bidi="ar-SA"/>
        </w:rPr>
        <w:t>（二）主要经济指标</w:t>
      </w:r>
    </w:p>
    <w:p>
      <w:pPr>
        <w:pStyle w:val="4"/>
        <w:keepNext w:val="0"/>
        <w:keepLines w:val="0"/>
        <w:pageBreakBefore w:val="0"/>
        <w:kinsoku/>
        <w:wordWrap/>
        <w:overflowPunct/>
        <w:topLinePunct w:val="0"/>
        <w:autoSpaceDE/>
        <w:autoSpaceDN/>
        <w:bidi w:val="0"/>
        <w:adjustRightInd/>
        <w:snapToGrid/>
        <w:spacing w:line="580" w:lineRule="exact"/>
        <w:ind w:firstLine="632"/>
        <w:rPr>
          <w:rFonts w:hint="eastAsia" w:ascii="仿宋_GB2312" w:hAnsi="仿宋_GB2312" w:eastAsia="仿宋_GB2312" w:cs="仿宋_GB2312"/>
          <w:color w:val="0C0C0C"/>
          <w:spacing w:val="-6"/>
          <w:kern w:val="2"/>
          <w:sz w:val="32"/>
          <w:szCs w:val="32"/>
          <w:highlight w:val="none"/>
          <w:u w:val="none"/>
          <w:lang w:val="en-US" w:eastAsia="zh-CN" w:bidi="ar-SA"/>
        </w:rPr>
      </w:pPr>
      <w:r>
        <w:rPr>
          <w:rFonts w:hint="eastAsia" w:ascii="仿宋_GB2312" w:hAnsi="仿宋_GB2312" w:eastAsia="仿宋_GB2312" w:cs="仿宋_GB2312"/>
          <w:color w:val="0C0C0C"/>
          <w:spacing w:val="-6"/>
          <w:kern w:val="2"/>
          <w:sz w:val="32"/>
          <w:szCs w:val="32"/>
          <w:highlight w:val="none"/>
          <w:u w:val="none"/>
          <w:lang w:val="en-US" w:eastAsia="zh-CN" w:bidi="ar-SA"/>
        </w:rPr>
        <w:t>2023年末，卫生和社会工作企业法人单位资产总计</w:t>
      </w:r>
      <w:r>
        <w:rPr>
          <w:rFonts w:hint="eastAsia" w:ascii="仿宋_GB2312" w:hAnsi="仿宋_GB2312" w:eastAsia="仿宋_GB2312" w:cs="仿宋_GB2312"/>
          <w:color w:val="0C0C0C"/>
          <w:sz w:val="32"/>
          <w:szCs w:val="32"/>
          <w:highlight w:val="none"/>
          <w:u w:val="none"/>
          <w:lang w:val="en-US" w:eastAsia="zh-CN"/>
        </w:rPr>
        <w:t>15.15</w:t>
      </w:r>
      <w:r>
        <w:rPr>
          <w:rFonts w:hint="eastAsia" w:ascii="仿宋_GB2312" w:hAnsi="仿宋_GB2312" w:eastAsia="仿宋_GB2312" w:cs="仿宋_GB2312"/>
          <w:color w:val="0C0C0C"/>
          <w:spacing w:val="-6"/>
          <w:kern w:val="2"/>
          <w:sz w:val="32"/>
          <w:szCs w:val="32"/>
          <w:highlight w:val="none"/>
          <w:u w:val="none"/>
          <w:lang w:val="en-US" w:eastAsia="zh-CN" w:bidi="ar-SA"/>
        </w:rPr>
        <w:t>亿元，比2018年末增长</w:t>
      </w:r>
      <w:r>
        <w:rPr>
          <w:rFonts w:hint="eastAsia" w:ascii="仿宋_GB2312" w:hAnsi="仿宋_GB2312" w:eastAsia="仿宋_GB2312" w:cs="仿宋_GB2312"/>
          <w:color w:val="0C0C0C"/>
          <w:sz w:val="32"/>
          <w:szCs w:val="32"/>
          <w:highlight w:val="none"/>
          <w:u w:val="none"/>
          <w:lang w:val="en-US" w:eastAsia="zh-CN"/>
        </w:rPr>
        <w:t>10.2%</w:t>
      </w:r>
      <w:r>
        <w:rPr>
          <w:rFonts w:hint="eastAsia" w:ascii="仿宋_GB2312" w:hAnsi="仿宋_GB2312" w:eastAsia="仿宋_GB2312" w:cs="仿宋_GB2312"/>
          <w:color w:val="0C0C0C"/>
          <w:spacing w:val="-6"/>
          <w:kern w:val="2"/>
          <w:sz w:val="32"/>
          <w:szCs w:val="32"/>
          <w:highlight w:val="none"/>
          <w:u w:val="none"/>
          <w:lang w:val="en-US" w:eastAsia="zh-CN" w:bidi="ar-SA"/>
        </w:rPr>
        <w:t>；负债合计</w:t>
      </w:r>
      <w:r>
        <w:rPr>
          <w:rFonts w:hint="eastAsia" w:ascii="仿宋_GB2312" w:hAnsi="仿宋_GB2312" w:eastAsia="仿宋_GB2312" w:cs="仿宋_GB2312"/>
          <w:color w:val="0C0C0C"/>
          <w:sz w:val="32"/>
          <w:szCs w:val="32"/>
          <w:highlight w:val="none"/>
          <w:u w:val="none"/>
          <w:lang w:val="en-US" w:eastAsia="zh-CN"/>
        </w:rPr>
        <w:t>11.63</w:t>
      </w:r>
      <w:r>
        <w:rPr>
          <w:rFonts w:hint="eastAsia" w:ascii="仿宋_GB2312" w:hAnsi="仿宋_GB2312" w:eastAsia="仿宋_GB2312" w:cs="仿宋_GB2312"/>
          <w:color w:val="0C0C0C"/>
          <w:spacing w:val="-6"/>
          <w:kern w:val="2"/>
          <w:sz w:val="32"/>
          <w:szCs w:val="32"/>
          <w:highlight w:val="none"/>
          <w:u w:val="none"/>
          <w:lang w:val="en-US" w:eastAsia="zh-CN" w:bidi="ar-SA"/>
        </w:rPr>
        <w:t>亿元，比2018年末增长</w:t>
      </w:r>
      <w:r>
        <w:rPr>
          <w:rFonts w:hint="eastAsia" w:ascii="仿宋_GB2312" w:hAnsi="仿宋_GB2312" w:eastAsia="仿宋_GB2312" w:cs="仿宋_GB2312"/>
          <w:color w:val="0C0C0C"/>
          <w:sz w:val="32"/>
          <w:szCs w:val="32"/>
          <w:highlight w:val="none"/>
          <w:u w:val="none"/>
          <w:lang w:val="en-US" w:eastAsia="zh-CN"/>
        </w:rPr>
        <w:t>11.0%</w:t>
      </w:r>
      <w:r>
        <w:rPr>
          <w:rFonts w:hint="eastAsia" w:ascii="仿宋_GB2312" w:hAnsi="仿宋_GB2312" w:eastAsia="仿宋_GB2312" w:cs="仿宋_GB2312"/>
          <w:color w:val="0C0C0C"/>
          <w:spacing w:val="-6"/>
          <w:kern w:val="2"/>
          <w:sz w:val="32"/>
          <w:szCs w:val="32"/>
          <w:highlight w:val="none"/>
          <w:u w:val="none"/>
          <w:lang w:val="en-US" w:eastAsia="zh-CN" w:bidi="ar-SA"/>
        </w:rPr>
        <w:t>。全年实现营业收入</w:t>
      </w:r>
      <w:r>
        <w:rPr>
          <w:rFonts w:hint="eastAsia" w:ascii="仿宋_GB2312" w:hAnsi="仿宋_GB2312" w:eastAsia="仿宋_GB2312" w:cs="仿宋_GB2312"/>
          <w:color w:val="0C0C0C"/>
          <w:sz w:val="32"/>
          <w:szCs w:val="32"/>
          <w:highlight w:val="none"/>
          <w:u w:val="none"/>
          <w:lang w:val="en-US" w:eastAsia="zh-CN"/>
        </w:rPr>
        <w:t>9.35</w:t>
      </w:r>
      <w:r>
        <w:rPr>
          <w:rFonts w:hint="eastAsia" w:ascii="仿宋_GB2312" w:hAnsi="仿宋_GB2312" w:eastAsia="仿宋_GB2312" w:cs="仿宋_GB2312"/>
          <w:color w:val="0C0C0C"/>
          <w:spacing w:val="-6"/>
          <w:kern w:val="2"/>
          <w:sz w:val="32"/>
          <w:szCs w:val="32"/>
          <w:highlight w:val="none"/>
          <w:u w:val="none"/>
          <w:lang w:val="en-US" w:eastAsia="zh-CN" w:bidi="ar-SA"/>
        </w:rPr>
        <w:t>亿元，比2018年增长</w:t>
      </w:r>
      <w:r>
        <w:rPr>
          <w:rFonts w:hint="eastAsia" w:ascii="仿宋_GB2312" w:hAnsi="仿宋_GB2312" w:eastAsia="仿宋_GB2312" w:cs="仿宋_GB2312"/>
          <w:color w:val="0C0C0C"/>
          <w:sz w:val="32"/>
          <w:szCs w:val="32"/>
          <w:highlight w:val="none"/>
          <w:u w:val="none"/>
          <w:lang w:val="en-US" w:eastAsia="zh-CN"/>
        </w:rPr>
        <w:t>17.2%</w:t>
      </w:r>
      <w:r>
        <w:rPr>
          <w:rFonts w:hint="eastAsia" w:ascii="仿宋_GB2312" w:hAnsi="仿宋_GB2312" w:eastAsia="仿宋_GB2312" w:cs="仿宋_GB2312"/>
          <w:color w:val="0C0C0C"/>
          <w:spacing w:val="-6"/>
          <w:kern w:val="2"/>
          <w:sz w:val="32"/>
          <w:szCs w:val="32"/>
          <w:highlight w:val="none"/>
          <w:u w:val="none"/>
          <w:lang w:val="en-US" w:eastAsia="zh-CN" w:bidi="ar-SA"/>
        </w:rPr>
        <w:t>。</w:t>
      </w:r>
    </w:p>
    <w:p>
      <w:pPr>
        <w:pStyle w:val="4"/>
        <w:keepNext w:val="0"/>
        <w:keepLines w:val="0"/>
        <w:pageBreakBefore w:val="0"/>
        <w:kinsoku/>
        <w:wordWrap/>
        <w:overflowPunct/>
        <w:topLinePunct w:val="0"/>
        <w:autoSpaceDE/>
        <w:autoSpaceDN/>
        <w:bidi w:val="0"/>
        <w:adjustRightInd/>
        <w:snapToGrid/>
        <w:spacing w:line="580" w:lineRule="exact"/>
        <w:ind w:firstLine="632"/>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行政事业及非企业法人单位年末资产</w:t>
      </w:r>
      <w:r>
        <w:rPr>
          <w:rFonts w:hint="eastAsia" w:ascii="仿宋_GB2312" w:hAnsi="仿宋_GB2312" w:eastAsia="仿宋_GB2312" w:cs="仿宋_GB2312"/>
          <w:color w:val="auto"/>
          <w:sz w:val="32"/>
          <w:szCs w:val="32"/>
          <w:highlight w:val="none"/>
          <w:u w:val="none"/>
          <w:lang w:val="en-US" w:eastAsia="zh-CN"/>
        </w:rPr>
        <w:t>12.67</w:t>
      </w:r>
      <w:r>
        <w:rPr>
          <w:rFonts w:hint="eastAsia" w:ascii="仿宋_GB2312" w:hAnsi="仿宋_GB2312" w:eastAsia="仿宋_GB2312" w:cs="仿宋_GB2312"/>
          <w:color w:val="auto"/>
          <w:spacing w:val="-6"/>
          <w:kern w:val="2"/>
          <w:sz w:val="32"/>
          <w:szCs w:val="32"/>
          <w:highlight w:val="none"/>
          <w:u w:val="none"/>
          <w:lang w:val="en-US" w:eastAsia="zh-CN" w:bidi="ar-SA"/>
        </w:rPr>
        <w:t>亿元。本年支出（费用）合计</w:t>
      </w:r>
      <w:r>
        <w:rPr>
          <w:rFonts w:hint="eastAsia" w:ascii="仿宋_GB2312" w:hAnsi="仿宋_GB2312" w:eastAsia="仿宋_GB2312" w:cs="仿宋_GB2312"/>
          <w:color w:val="auto"/>
          <w:sz w:val="32"/>
          <w:szCs w:val="32"/>
          <w:highlight w:val="none"/>
          <w:u w:val="none"/>
          <w:lang w:val="en-US" w:eastAsia="zh-CN"/>
        </w:rPr>
        <w:t>10.87</w:t>
      </w:r>
      <w:r>
        <w:rPr>
          <w:rFonts w:hint="eastAsia" w:ascii="仿宋_GB2312" w:hAnsi="仿宋_GB2312" w:eastAsia="仿宋_GB2312" w:cs="仿宋_GB2312"/>
          <w:color w:val="auto"/>
          <w:spacing w:val="-6"/>
          <w:kern w:val="2"/>
          <w:sz w:val="32"/>
          <w:szCs w:val="32"/>
          <w:highlight w:val="none"/>
          <w:u w:val="none"/>
          <w:lang w:val="en-US" w:eastAsia="zh-CN" w:bidi="ar-SA"/>
        </w:rPr>
        <w:t>亿元。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32"/>
        <w:jc w:val="both"/>
        <w:textAlignment w:val="auto"/>
        <w:rPr>
          <w:rFonts w:hint="eastAsia" w:ascii="仿宋_GB2312" w:hAnsi="仿宋_GB2312" w:eastAsia="仿宋_GB2312" w:cs="仿宋_GB2312"/>
          <w:i w:val="0"/>
          <w:caps w:val="0"/>
          <w:color w:val="0C0C0C"/>
          <w:spacing w:val="0"/>
          <w:sz w:val="32"/>
          <w:szCs w:val="32"/>
          <w:highlight w:val="none"/>
        </w:rPr>
      </w:pPr>
      <w:r>
        <w:rPr>
          <w:rFonts w:hint="eastAsia" w:ascii="黑体" w:hAnsi="黑体" w:eastAsia="黑体" w:cs="黑体"/>
          <w:b w:val="0"/>
          <w:bCs/>
          <w:i w:val="0"/>
          <w:caps w:val="0"/>
          <w:color w:val="0C0C0C"/>
          <w:spacing w:val="0"/>
          <w:kern w:val="0"/>
          <w:sz w:val="32"/>
          <w:szCs w:val="32"/>
          <w:highlight w:val="none"/>
          <w:lang w:val="en-US" w:eastAsia="zh-CN" w:bidi="ar"/>
        </w:rPr>
        <w:t>六、文化、体育和娱乐业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32"/>
        <w:jc w:val="both"/>
        <w:textAlignment w:val="auto"/>
        <w:rPr>
          <w:rFonts w:hint="eastAsia" w:ascii="楷体_GB2312" w:hAnsi="楷体_GB2312" w:eastAsia="楷体_GB2312" w:cs="楷体_GB2312"/>
          <w:i w:val="0"/>
          <w:caps w:val="0"/>
          <w:color w:val="auto"/>
          <w:spacing w:val="0"/>
          <w:kern w:val="0"/>
          <w:sz w:val="32"/>
          <w:szCs w:val="32"/>
          <w:highlight w:val="none"/>
          <w:lang w:bidi="ar"/>
        </w:rPr>
      </w:pPr>
      <w:r>
        <w:rPr>
          <w:rFonts w:hint="eastAsia" w:ascii="楷体_GB2312" w:hAnsi="楷体_GB2312" w:eastAsia="楷体_GB2312" w:cs="楷体_GB2312"/>
          <w:i w:val="0"/>
          <w:caps w:val="0"/>
          <w:color w:val="auto"/>
          <w:spacing w:val="0"/>
          <w:kern w:val="0"/>
          <w:sz w:val="32"/>
          <w:szCs w:val="32"/>
          <w:highlight w:val="none"/>
          <w:lang w:val="en-US" w:eastAsia="zh-CN" w:bidi="ar"/>
        </w:rPr>
        <w:t>（一）法人单位数和从业人员</w:t>
      </w:r>
    </w:p>
    <w:p>
      <w:pPr>
        <w:pStyle w:val="4"/>
        <w:keepNext w:val="0"/>
        <w:keepLines w:val="0"/>
        <w:pageBreakBefore w:val="0"/>
        <w:kinsoku/>
        <w:wordWrap/>
        <w:overflowPunct/>
        <w:topLinePunct w:val="0"/>
        <w:autoSpaceDE/>
        <w:autoSpaceDN/>
        <w:bidi w:val="0"/>
        <w:adjustRightInd/>
        <w:snapToGrid/>
        <w:spacing w:line="580" w:lineRule="exact"/>
        <w:ind w:firstLine="632"/>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2023年末，全区共有文化、体育和娱乐业法人单位</w:t>
      </w:r>
      <w:r>
        <w:rPr>
          <w:rFonts w:hint="eastAsia" w:ascii="仿宋_GB2312" w:hAnsi="仿宋_GB2312" w:eastAsia="仿宋_GB2312" w:cs="仿宋_GB2312"/>
          <w:color w:val="auto"/>
          <w:sz w:val="32"/>
          <w:szCs w:val="32"/>
          <w:highlight w:val="none"/>
          <w:u w:val="none"/>
          <w:lang w:val="en-US" w:eastAsia="zh-CN"/>
        </w:rPr>
        <w:t>595</w:t>
      </w:r>
      <w:r>
        <w:rPr>
          <w:rFonts w:hint="eastAsia" w:ascii="仿宋_GB2312" w:hAnsi="仿宋_GB2312" w:eastAsia="仿宋_GB2312" w:cs="仿宋_GB2312"/>
          <w:color w:val="auto"/>
          <w:spacing w:val="-6"/>
          <w:kern w:val="2"/>
          <w:sz w:val="32"/>
          <w:szCs w:val="32"/>
          <w:highlight w:val="none"/>
          <w:u w:val="none"/>
          <w:lang w:val="en-US" w:eastAsia="zh-CN" w:bidi="ar-SA"/>
        </w:rPr>
        <w:t>个，从业人员</w:t>
      </w:r>
      <w:r>
        <w:rPr>
          <w:rFonts w:hint="eastAsia" w:ascii="仿宋_GB2312" w:hAnsi="仿宋_GB2312" w:eastAsia="仿宋_GB2312" w:cs="仿宋_GB2312"/>
          <w:color w:val="auto"/>
          <w:sz w:val="32"/>
          <w:szCs w:val="32"/>
          <w:highlight w:val="none"/>
          <w:u w:val="none"/>
          <w:lang w:val="en-US" w:eastAsia="zh-CN"/>
        </w:rPr>
        <w:t>0.28</w:t>
      </w:r>
      <w:r>
        <w:rPr>
          <w:rFonts w:hint="eastAsia" w:ascii="仿宋_GB2312" w:hAnsi="仿宋_GB2312" w:eastAsia="仿宋_GB2312" w:cs="仿宋_GB2312"/>
          <w:color w:val="auto"/>
          <w:spacing w:val="-6"/>
          <w:kern w:val="2"/>
          <w:sz w:val="32"/>
          <w:szCs w:val="32"/>
          <w:highlight w:val="none"/>
          <w:u w:val="none"/>
          <w:lang w:val="en-US" w:eastAsia="zh-CN" w:bidi="ar-SA"/>
        </w:rPr>
        <w:t>万人，分别比2018年末增长</w:t>
      </w:r>
      <w:r>
        <w:rPr>
          <w:rFonts w:hint="eastAsia" w:ascii="仿宋_GB2312" w:hAnsi="仿宋_GB2312" w:eastAsia="仿宋_GB2312" w:cs="仿宋_GB2312"/>
          <w:color w:val="auto"/>
          <w:sz w:val="32"/>
          <w:szCs w:val="32"/>
          <w:highlight w:val="none"/>
          <w:u w:val="none"/>
          <w:lang w:val="en-US" w:eastAsia="zh-CN"/>
        </w:rPr>
        <w:t>46.2%</w:t>
      </w:r>
      <w:r>
        <w:rPr>
          <w:rFonts w:hint="eastAsia" w:ascii="仿宋_GB2312" w:hAnsi="仿宋_GB2312" w:eastAsia="仿宋_GB2312" w:cs="仿宋_GB2312"/>
          <w:color w:val="auto"/>
          <w:spacing w:val="-6"/>
          <w:kern w:val="2"/>
          <w:sz w:val="32"/>
          <w:szCs w:val="32"/>
          <w:highlight w:val="none"/>
          <w:u w:val="none"/>
          <w:lang w:val="en-US" w:eastAsia="zh-CN" w:bidi="ar-SA"/>
        </w:rPr>
        <w:t>和</w:t>
      </w:r>
      <w:r>
        <w:rPr>
          <w:rFonts w:hint="eastAsia" w:ascii="仿宋_GB2312" w:hAnsi="仿宋_GB2312" w:eastAsia="仿宋_GB2312" w:cs="仿宋_GB2312"/>
          <w:color w:val="auto"/>
          <w:sz w:val="32"/>
          <w:szCs w:val="32"/>
          <w:highlight w:val="none"/>
          <w:u w:val="none"/>
          <w:lang w:val="en-US" w:eastAsia="zh-CN"/>
        </w:rPr>
        <w:t>17.3%</w:t>
      </w:r>
      <w:r>
        <w:rPr>
          <w:rFonts w:hint="eastAsia" w:ascii="仿宋_GB2312" w:hAnsi="仿宋_GB2312" w:eastAsia="仿宋_GB2312" w:cs="仿宋_GB2312"/>
          <w:color w:val="auto"/>
          <w:spacing w:val="-6"/>
          <w:kern w:val="2"/>
          <w:sz w:val="32"/>
          <w:szCs w:val="32"/>
          <w:highlight w:val="none"/>
          <w:u w:val="none"/>
          <w:lang w:val="en-US" w:eastAsia="zh-CN" w:bidi="ar-SA"/>
        </w:rPr>
        <w:t>。其中，企业法人单位</w:t>
      </w:r>
      <w:r>
        <w:rPr>
          <w:rFonts w:hint="eastAsia" w:ascii="仿宋_GB2312" w:hAnsi="仿宋_GB2312" w:eastAsia="仿宋_GB2312" w:cs="仿宋_GB2312"/>
          <w:color w:val="auto"/>
          <w:sz w:val="32"/>
          <w:szCs w:val="32"/>
          <w:highlight w:val="none"/>
          <w:u w:val="none"/>
          <w:lang w:val="en-US" w:eastAsia="zh-CN"/>
        </w:rPr>
        <w:t>569</w:t>
      </w:r>
      <w:r>
        <w:rPr>
          <w:rFonts w:hint="eastAsia" w:ascii="仿宋_GB2312" w:hAnsi="仿宋_GB2312" w:eastAsia="仿宋_GB2312" w:cs="仿宋_GB2312"/>
          <w:color w:val="auto"/>
          <w:spacing w:val="-6"/>
          <w:kern w:val="2"/>
          <w:sz w:val="32"/>
          <w:szCs w:val="32"/>
          <w:highlight w:val="none"/>
          <w:u w:val="none"/>
          <w:lang w:val="en-US" w:eastAsia="zh-CN" w:bidi="ar-SA"/>
        </w:rPr>
        <w:t>个，从业人员</w:t>
      </w:r>
      <w:r>
        <w:rPr>
          <w:rFonts w:hint="eastAsia" w:ascii="仿宋_GB2312" w:hAnsi="仿宋_GB2312" w:eastAsia="仿宋_GB2312" w:cs="仿宋_GB2312"/>
          <w:color w:val="auto"/>
          <w:sz w:val="32"/>
          <w:szCs w:val="32"/>
          <w:highlight w:val="none"/>
          <w:u w:val="none"/>
          <w:lang w:val="en-US" w:eastAsia="zh-CN"/>
        </w:rPr>
        <w:t>0.26</w:t>
      </w:r>
      <w:r>
        <w:rPr>
          <w:rFonts w:hint="eastAsia" w:ascii="仿宋_GB2312" w:hAnsi="仿宋_GB2312" w:eastAsia="仿宋_GB2312" w:cs="仿宋_GB2312"/>
          <w:color w:val="auto"/>
          <w:spacing w:val="-6"/>
          <w:kern w:val="2"/>
          <w:sz w:val="32"/>
          <w:szCs w:val="32"/>
          <w:highlight w:val="none"/>
          <w:u w:val="none"/>
          <w:lang w:val="en-US" w:eastAsia="zh-CN" w:bidi="ar-SA"/>
        </w:rPr>
        <w:t>万人，分别比2018年末增长</w:t>
      </w:r>
      <w:r>
        <w:rPr>
          <w:rFonts w:hint="eastAsia" w:ascii="仿宋_GB2312" w:hAnsi="仿宋_GB2312" w:eastAsia="仿宋_GB2312" w:cs="仿宋_GB2312"/>
          <w:color w:val="auto"/>
          <w:sz w:val="32"/>
          <w:szCs w:val="32"/>
          <w:highlight w:val="none"/>
          <w:u w:val="none"/>
          <w:lang w:val="en-US" w:eastAsia="zh-CN"/>
        </w:rPr>
        <w:t>56.3%</w:t>
      </w:r>
      <w:r>
        <w:rPr>
          <w:rFonts w:hint="eastAsia" w:ascii="仿宋_GB2312" w:hAnsi="仿宋_GB2312" w:eastAsia="仿宋_GB2312" w:cs="仿宋_GB2312"/>
          <w:color w:val="auto"/>
          <w:spacing w:val="-6"/>
          <w:kern w:val="2"/>
          <w:sz w:val="32"/>
          <w:szCs w:val="32"/>
          <w:highlight w:val="none"/>
          <w:u w:val="none"/>
          <w:lang w:val="en-US" w:eastAsia="zh-CN" w:bidi="ar-SA"/>
        </w:rPr>
        <w:t>和</w:t>
      </w:r>
      <w:r>
        <w:rPr>
          <w:rFonts w:hint="eastAsia" w:ascii="仿宋_GB2312" w:hAnsi="仿宋_GB2312" w:eastAsia="仿宋_GB2312" w:cs="仿宋_GB2312"/>
          <w:color w:val="auto"/>
          <w:sz w:val="32"/>
          <w:szCs w:val="32"/>
          <w:highlight w:val="none"/>
          <w:u w:val="none"/>
          <w:lang w:val="en-US" w:eastAsia="zh-CN"/>
        </w:rPr>
        <w:t>18.2%</w:t>
      </w:r>
      <w:r>
        <w:rPr>
          <w:rFonts w:hint="eastAsia" w:ascii="仿宋_GB2312" w:hAnsi="仿宋_GB2312" w:eastAsia="仿宋_GB2312" w:cs="仿宋_GB2312"/>
          <w:color w:val="auto"/>
          <w:spacing w:val="-6"/>
          <w:kern w:val="2"/>
          <w:sz w:val="32"/>
          <w:szCs w:val="32"/>
          <w:highlight w:val="none"/>
          <w:u w:val="none"/>
          <w:lang w:val="en-US" w:eastAsia="zh-CN" w:bidi="ar-SA"/>
        </w:rPr>
        <w:t>。</w:t>
      </w:r>
    </w:p>
    <w:p>
      <w:pPr>
        <w:keepNext w:val="0"/>
        <w:keepLines w:val="0"/>
        <w:pageBreakBefore w:val="0"/>
        <w:kinsoku/>
        <w:wordWrap/>
        <w:overflowPunct/>
        <w:topLinePunct w:val="0"/>
        <w:autoSpaceDE/>
        <w:autoSpaceDN/>
        <w:bidi w:val="0"/>
        <w:adjustRightInd/>
        <w:snapToGrid/>
        <w:spacing w:line="580" w:lineRule="exact"/>
        <w:ind w:firstLine="632"/>
        <w:rPr>
          <w:rFonts w:hint="eastAsia" w:ascii="仿宋_GB2312" w:hAnsi="仿宋_GB2312" w:eastAsia="仿宋_GB2312" w:cs="仿宋_GB2312"/>
          <w:color w:val="0C0C0C"/>
          <w:sz w:val="32"/>
          <w:szCs w:val="32"/>
          <w:lang w:val="en-US" w:eastAsia="zh-CN"/>
        </w:rPr>
      </w:pPr>
      <w:r>
        <w:rPr>
          <w:rFonts w:hint="eastAsia" w:ascii="楷体_GB2312" w:hAnsi="楷体_GB2312" w:eastAsia="楷体_GB2312" w:cs="楷体_GB2312"/>
          <w:color w:val="0C0C0C"/>
          <w:spacing w:val="-6"/>
          <w:kern w:val="2"/>
          <w:sz w:val="32"/>
          <w:szCs w:val="32"/>
          <w:u w:val="none"/>
          <w:lang w:val="en-US" w:eastAsia="zh-CN" w:bidi="ar-SA"/>
        </w:rPr>
        <w:t>（二）主要经济指标</w:t>
      </w:r>
    </w:p>
    <w:p>
      <w:pPr>
        <w:pStyle w:val="4"/>
        <w:keepNext w:val="0"/>
        <w:keepLines w:val="0"/>
        <w:pageBreakBefore w:val="0"/>
        <w:kinsoku/>
        <w:wordWrap/>
        <w:overflowPunct/>
        <w:topLinePunct w:val="0"/>
        <w:autoSpaceDE/>
        <w:autoSpaceDN/>
        <w:bidi w:val="0"/>
        <w:adjustRightInd/>
        <w:snapToGrid/>
        <w:spacing w:line="580" w:lineRule="exact"/>
        <w:ind w:firstLine="632"/>
        <w:rPr>
          <w:rFonts w:hint="eastAsia" w:ascii="仿宋_GB2312" w:hAnsi="仿宋_GB2312" w:eastAsia="仿宋_GB2312" w:cs="仿宋_GB2312"/>
          <w:color w:val="0C0C0C"/>
          <w:spacing w:val="-6"/>
          <w:kern w:val="2"/>
          <w:sz w:val="32"/>
          <w:szCs w:val="32"/>
          <w:highlight w:val="none"/>
          <w:u w:val="none"/>
          <w:lang w:val="en-US" w:eastAsia="zh-CN" w:bidi="ar-SA"/>
        </w:rPr>
      </w:pPr>
      <w:r>
        <w:rPr>
          <w:rFonts w:hint="eastAsia" w:ascii="仿宋_GB2312" w:hAnsi="仿宋_GB2312" w:eastAsia="仿宋_GB2312" w:cs="仿宋_GB2312"/>
          <w:color w:val="0C0C0C"/>
          <w:spacing w:val="-6"/>
          <w:kern w:val="2"/>
          <w:sz w:val="32"/>
          <w:szCs w:val="32"/>
          <w:highlight w:val="none"/>
          <w:u w:val="none"/>
          <w:lang w:val="en-US" w:eastAsia="zh-CN" w:bidi="ar-SA"/>
        </w:rPr>
        <w:t>2023年末，文化、体育和娱乐业企业法人单位资产总计</w:t>
      </w:r>
      <w:r>
        <w:rPr>
          <w:rFonts w:hint="eastAsia" w:ascii="仿宋_GB2312" w:hAnsi="仿宋_GB2312" w:eastAsia="仿宋_GB2312" w:cs="仿宋_GB2312"/>
          <w:color w:val="0C0C0C"/>
          <w:sz w:val="32"/>
          <w:szCs w:val="32"/>
          <w:highlight w:val="none"/>
          <w:u w:val="none"/>
          <w:lang w:val="en-US" w:eastAsia="zh-CN"/>
        </w:rPr>
        <w:t>11.08</w:t>
      </w:r>
      <w:r>
        <w:rPr>
          <w:rFonts w:hint="eastAsia" w:ascii="仿宋_GB2312" w:hAnsi="仿宋_GB2312" w:eastAsia="仿宋_GB2312" w:cs="仿宋_GB2312"/>
          <w:color w:val="0C0C0C"/>
          <w:spacing w:val="-6"/>
          <w:kern w:val="2"/>
          <w:sz w:val="32"/>
          <w:szCs w:val="32"/>
          <w:highlight w:val="none"/>
          <w:u w:val="none"/>
          <w:lang w:val="en-US" w:eastAsia="zh-CN" w:bidi="ar-SA"/>
        </w:rPr>
        <w:t>亿元，比2018年末增长</w:t>
      </w:r>
      <w:r>
        <w:rPr>
          <w:rFonts w:hint="eastAsia" w:ascii="仿宋_GB2312" w:hAnsi="仿宋_GB2312" w:eastAsia="仿宋_GB2312" w:cs="仿宋_GB2312"/>
          <w:color w:val="0C0C0C"/>
          <w:sz w:val="32"/>
          <w:szCs w:val="32"/>
          <w:highlight w:val="none"/>
          <w:u w:val="none"/>
          <w:lang w:val="en-US" w:eastAsia="zh-CN"/>
        </w:rPr>
        <w:t>96.8%</w:t>
      </w:r>
      <w:r>
        <w:rPr>
          <w:rFonts w:hint="eastAsia" w:ascii="仿宋_GB2312" w:hAnsi="仿宋_GB2312" w:eastAsia="仿宋_GB2312" w:cs="仿宋_GB2312"/>
          <w:color w:val="0C0C0C"/>
          <w:spacing w:val="-6"/>
          <w:kern w:val="2"/>
          <w:sz w:val="32"/>
          <w:szCs w:val="32"/>
          <w:highlight w:val="none"/>
          <w:u w:val="none"/>
          <w:lang w:val="en-US" w:eastAsia="zh-CN" w:bidi="ar-SA"/>
        </w:rPr>
        <w:t>；负债合计</w:t>
      </w:r>
      <w:r>
        <w:rPr>
          <w:rFonts w:hint="eastAsia" w:ascii="仿宋_GB2312" w:hAnsi="仿宋_GB2312" w:eastAsia="仿宋_GB2312" w:cs="仿宋_GB2312"/>
          <w:color w:val="0C0C0C"/>
          <w:sz w:val="32"/>
          <w:szCs w:val="32"/>
          <w:highlight w:val="none"/>
          <w:u w:val="none"/>
          <w:lang w:val="en-US" w:eastAsia="zh-CN"/>
        </w:rPr>
        <w:t>6.16</w:t>
      </w:r>
      <w:r>
        <w:rPr>
          <w:rFonts w:hint="eastAsia" w:ascii="仿宋_GB2312" w:hAnsi="仿宋_GB2312" w:eastAsia="仿宋_GB2312" w:cs="仿宋_GB2312"/>
          <w:color w:val="0C0C0C"/>
          <w:spacing w:val="-6"/>
          <w:kern w:val="2"/>
          <w:sz w:val="32"/>
          <w:szCs w:val="32"/>
          <w:highlight w:val="none"/>
          <w:u w:val="none"/>
          <w:lang w:val="en-US" w:eastAsia="zh-CN" w:bidi="ar-SA"/>
        </w:rPr>
        <w:t>亿元，比2018年末增长2.7倍。全年实现营业收入</w:t>
      </w:r>
      <w:r>
        <w:rPr>
          <w:rFonts w:hint="eastAsia" w:ascii="仿宋_GB2312" w:hAnsi="仿宋_GB2312" w:eastAsia="仿宋_GB2312" w:cs="仿宋_GB2312"/>
          <w:color w:val="0C0C0C"/>
          <w:sz w:val="32"/>
          <w:szCs w:val="32"/>
          <w:highlight w:val="none"/>
          <w:u w:val="none"/>
          <w:lang w:val="en-US" w:eastAsia="zh-CN"/>
        </w:rPr>
        <w:t>8.14</w:t>
      </w:r>
      <w:r>
        <w:rPr>
          <w:rFonts w:hint="eastAsia" w:ascii="仿宋_GB2312" w:hAnsi="仿宋_GB2312" w:eastAsia="仿宋_GB2312" w:cs="仿宋_GB2312"/>
          <w:color w:val="0C0C0C"/>
          <w:spacing w:val="-6"/>
          <w:kern w:val="2"/>
          <w:sz w:val="32"/>
          <w:szCs w:val="32"/>
          <w:highlight w:val="none"/>
          <w:u w:val="none"/>
          <w:lang w:val="en-US" w:eastAsia="zh-CN" w:bidi="ar-SA"/>
        </w:rPr>
        <w:t>亿元，比2018年增长</w:t>
      </w:r>
      <w:r>
        <w:rPr>
          <w:rFonts w:hint="eastAsia" w:ascii="仿宋_GB2312" w:hAnsi="仿宋_GB2312" w:eastAsia="仿宋_GB2312" w:cs="仿宋_GB2312"/>
          <w:color w:val="0C0C0C"/>
          <w:sz w:val="32"/>
          <w:szCs w:val="32"/>
          <w:highlight w:val="none"/>
          <w:u w:val="none"/>
          <w:lang w:val="en-US" w:eastAsia="zh-CN"/>
        </w:rPr>
        <w:t>1.2倍</w:t>
      </w:r>
      <w:r>
        <w:rPr>
          <w:rFonts w:hint="eastAsia" w:ascii="仿宋_GB2312" w:hAnsi="仿宋_GB2312" w:eastAsia="仿宋_GB2312" w:cs="仿宋_GB2312"/>
          <w:color w:val="0C0C0C"/>
          <w:spacing w:val="-6"/>
          <w:kern w:val="2"/>
          <w:sz w:val="32"/>
          <w:szCs w:val="32"/>
          <w:highlight w:val="none"/>
          <w:u w:val="none"/>
          <w:lang w:val="en-US" w:eastAsia="zh-CN" w:bidi="ar-SA"/>
        </w:rPr>
        <w:t>。</w:t>
      </w:r>
    </w:p>
    <w:p>
      <w:pPr>
        <w:pStyle w:val="4"/>
        <w:keepNext w:val="0"/>
        <w:keepLines w:val="0"/>
        <w:pageBreakBefore w:val="0"/>
        <w:kinsoku/>
        <w:wordWrap/>
        <w:overflowPunct/>
        <w:topLinePunct w:val="0"/>
        <w:autoSpaceDE/>
        <w:autoSpaceDN/>
        <w:bidi w:val="0"/>
        <w:adjustRightInd/>
        <w:snapToGrid/>
        <w:spacing w:line="580" w:lineRule="exact"/>
        <w:ind w:firstLine="632"/>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行政事业及非企业法人单位年末资产</w:t>
      </w:r>
      <w:r>
        <w:rPr>
          <w:rFonts w:hint="eastAsia" w:ascii="仿宋_GB2312" w:hAnsi="仿宋_GB2312" w:eastAsia="仿宋_GB2312" w:cs="仿宋_GB2312"/>
          <w:color w:val="auto"/>
          <w:sz w:val="32"/>
          <w:szCs w:val="32"/>
          <w:highlight w:val="none"/>
          <w:u w:val="none"/>
          <w:lang w:val="en-US" w:eastAsia="zh-CN"/>
        </w:rPr>
        <w:t>1.78</w:t>
      </w:r>
      <w:r>
        <w:rPr>
          <w:rFonts w:hint="eastAsia" w:ascii="仿宋_GB2312" w:hAnsi="仿宋_GB2312" w:eastAsia="仿宋_GB2312" w:cs="仿宋_GB2312"/>
          <w:color w:val="auto"/>
          <w:spacing w:val="-6"/>
          <w:kern w:val="2"/>
          <w:sz w:val="32"/>
          <w:szCs w:val="32"/>
          <w:highlight w:val="none"/>
          <w:u w:val="none"/>
          <w:lang w:val="en-US" w:eastAsia="zh-CN" w:bidi="ar-SA"/>
        </w:rPr>
        <w:t>亿元。本年支出（费用）合计</w:t>
      </w:r>
      <w:r>
        <w:rPr>
          <w:rFonts w:hint="eastAsia" w:ascii="仿宋_GB2312" w:hAnsi="仿宋_GB2312" w:eastAsia="仿宋_GB2312" w:cs="仿宋_GB2312"/>
          <w:color w:val="auto"/>
          <w:sz w:val="32"/>
          <w:szCs w:val="32"/>
          <w:highlight w:val="none"/>
          <w:u w:val="none"/>
          <w:lang w:val="en-US" w:eastAsia="zh-CN"/>
        </w:rPr>
        <w:t>0.42</w:t>
      </w:r>
      <w:r>
        <w:rPr>
          <w:rFonts w:hint="eastAsia" w:ascii="仿宋_GB2312" w:hAnsi="仿宋_GB2312" w:eastAsia="仿宋_GB2312" w:cs="仿宋_GB2312"/>
          <w:color w:val="auto"/>
          <w:spacing w:val="-6"/>
          <w:kern w:val="2"/>
          <w:sz w:val="32"/>
          <w:szCs w:val="32"/>
          <w:highlight w:val="none"/>
          <w:u w:val="none"/>
          <w:lang w:val="en-US" w:eastAsia="zh-CN" w:bidi="ar-SA"/>
        </w:rPr>
        <w:t>亿元。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32"/>
        <w:jc w:val="both"/>
        <w:textAlignment w:val="auto"/>
        <w:rPr>
          <w:rFonts w:hint="eastAsia" w:ascii="黑体" w:hAnsi="黑体" w:eastAsia="黑体" w:cs="黑体"/>
          <w:b w:val="0"/>
          <w:bCs/>
          <w:i w:val="0"/>
          <w:caps w:val="0"/>
          <w:color w:val="0C0C0C"/>
          <w:spacing w:val="0"/>
          <w:sz w:val="32"/>
          <w:szCs w:val="32"/>
          <w:highlight w:val="none"/>
        </w:rPr>
      </w:pPr>
      <w:r>
        <w:rPr>
          <w:rFonts w:hint="eastAsia" w:ascii="黑体" w:hAnsi="黑体" w:eastAsia="黑体" w:cs="黑体"/>
          <w:b w:val="0"/>
          <w:bCs/>
          <w:i w:val="0"/>
          <w:caps w:val="0"/>
          <w:color w:val="0C0C0C"/>
          <w:spacing w:val="0"/>
          <w:kern w:val="0"/>
          <w:sz w:val="32"/>
          <w:szCs w:val="32"/>
          <w:highlight w:val="none"/>
          <w:lang w:val="en-US" w:eastAsia="zh-CN" w:bidi="ar"/>
        </w:rPr>
        <w:t>七、公共管理、社会保障和社会组织</w:t>
      </w:r>
    </w:p>
    <w:p>
      <w:pPr>
        <w:pStyle w:val="4"/>
        <w:keepNext w:val="0"/>
        <w:keepLines w:val="0"/>
        <w:pageBreakBefore w:val="0"/>
        <w:kinsoku/>
        <w:wordWrap/>
        <w:overflowPunct/>
        <w:topLinePunct w:val="0"/>
        <w:autoSpaceDE/>
        <w:autoSpaceDN/>
        <w:bidi w:val="0"/>
        <w:adjustRightInd/>
        <w:snapToGrid/>
        <w:spacing w:line="580" w:lineRule="exact"/>
        <w:ind w:firstLine="632"/>
        <w:rPr>
          <w:rFonts w:hint="eastAsia" w:ascii="仿宋_GB2312" w:hAnsi="仿宋_GB2312" w:eastAsia="仿宋_GB2312" w:cs="仿宋_GB2312"/>
          <w:color w:val="0C0C0C"/>
          <w:spacing w:val="-6"/>
          <w:kern w:val="2"/>
          <w:sz w:val="32"/>
          <w:szCs w:val="32"/>
          <w:highlight w:val="none"/>
          <w:u w:val="none"/>
          <w:lang w:val="en-US" w:eastAsia="zh-CN" w:bidi="ar-SA"/>
        </w:rPr>
      </w:pPr>
      <w:r>
        <w:rPr>
          <w:rFonts w:hint="eastAsia" w:ascii="仿宋_GB2312" w:hAnsi="仿宋_GB2312" w:eastAsia="仿宋_GB2312" w:cs="仿宋_GB2312"/>
          <w:color w:val="0C0C0C"/>
          <w:spacing w:val="-6"/>
          <w:kern w:val="2"/>
          <w:sz w:val="32"/>
          <w:szCs w:val="32"/>
          <w:highlight w:val="none"/>
          <w:u w:val="none"/>
          <w:lang w:val="en-US" w:eastAsia="zh-CN" w:bidi="ar-SA"/>
        </w:rPr>
        <w:t>2023年末，全区共有公共管理、社会保障和社会组织法人单位</w:t>
      </w:r>
      <w:r>
        <w:rPr>
          <w:rFonts w:hint="eastAsia" w:ascii="仿宋_GB2312" w:hAnsi="仿宋_GB2312" w:eastAsia="仿宋_GB2312" w:cs="仿宋_GB2312"/>
          <w:color w:val="0C0C0C"/>
          <w:sz w:val="32"/>
          <w:szCs w:val="32"/>
          <w:highlight w:val="none"/>
          <w:u w:val="none"/>
          <w:lang w:val="en-US" w:eastAsia="zh-CN"/>
        </w:rPr>
        <w:t>282</w:t>
      </w:r>
      <w:r>
        <w:rPr>
          <w:rFonts w:hint="eastAsia" w:ascii="仿宋_GB2312" w:hAnsi="仿宋_GB2312" w:eastAsia="仿宋_GB2312" w:cs="仿宋_GB2312"/>
          <w:color w:val="0C0C0C"/>
          <w:spacing w:val="-6"/>
          <w:kern w:val="2"/>
          <w:sz w:val="32"/>
          <w:szCs w:val="32"/>
          <w:highlight w:val="none"/>
          <w:u w:val="none"/>
          <w:lang w:val="en-US" w:eastAsia="zh-CN" w:bidi="ar-SA"/>
        </w:rPr>
        <w:t>个，比2018年末增长17.5%；从业人员</w:t>
      </w:r>
      <w:r>
        <w:rPr>
          <w:rFonts w:hint="eastAsia" w:ascii="仿宋_GB2312" w:hAnsi="仿宋_GB2312" w:eastAsia="仿宋_GB2312" w:cs="仿宋_GB2312"/>
          <w:color w:val="0C0C0C"/>
          <w:sz w:val="32"/>
          <w:szCs w:val="32"/>
          <w:highlight w:val="none"/>
          <w:u w:val="none"/>
          <w:lang w:val="en-US" w:eastAsia="zh-CN"/>
        </w:rPr>
        <w:t>0.813</w:t>
      </w:r>
      <w:r>
        <w:rPr>
          <w:rFonts w:hint="eastAsia" w:ascii="仿宋_GB2312" w:hAnsi="仿宋_GB2312" w:eastAsia="仿宋_GB2312" w:cs="仿宋_GB2312"/>
          <w:color w:val="0C0C0C"/>
          <w:spacing w:val="-6"/>
          <w:kern w:val="2"/>
          <w:sz w:val="32"/>
          <w:szCs w:val="32"/>
          <w:highlight w:val="none"/>
          <w:u w:val="none"/>
          <w:lang w:val="en-US" w:eastAsia="zh-CN" w:bidi="ar-SA"/>
        </w:rPr>
        <w:t>万人，增长</w:t>
      </w:r>
      <w:r>
        <w:rPr>
          <w:rFonts w:hint="eastAsia" w:ascii="仿宋_GB2312" w:hAnsi="仿宋_GB2312" w:eastAsia="仿宋_GB2312" w:cs="仿宋_GB2312"/>
          <w:color w:val="0C0C0C"/>
          <w:sz w:val="32"/>
          <w:szCs w:val="32"/>
          <w:highlight w:val="none"/>
          <w:u w:val="none"/>
          <w:lang w:val="en-US" w:eastAsia="zh-CN"/>
        </w:rPr>
        <w:t>72.6%</w:t>
      </w:r>
      <w:r>
        <w:rPr>
          <w:rFonts w:hint="eastAsia" w:ascii="仿宋_GB2312" w:hAnsi="仿宋_GB2312" w:eastAsia="仿宋_GB2312" w:cs="仿宋_GB2312"/>
          <w:color w:val="0C0C0C"/>
          <w:spacing w:val="-6"/>
          <w:kern w:val="2"/>
          <w:sz w:val="32"/>
          <w:szCs w:val="32"/>
          <w:highlight w:val="none"/>
          <w:u w:val="none"/>
          <w:lang w:val="en-US" w:eastAsia="zh-CN" w:bidi="ar-SA"/>
        </w:rPr>
        <w:t>。行政事业及非企业法人单位本年支出（费用）合计</w:t>
      </w:r>
      <w:r>
        <w:rPr>
          <w:rFonts w:hint="eastAsia" w:ascii="仿宋_GB2312" w:hAnsi="仿宋_GB2312" w:eastAsia="仿宋_GB2312" w:cs="仿宋_GB2312"/>
          <w:color w:val="0C0C0C"/>
          <w:sz w:val="32"/>
          <w:szCs w:val="32"/>
          <w:highlight w:val="none"/>
          <w:u w:val="none"/>
          <w:lang w:val="en-US" w:eastAsia="zh-CN"/>
        </w:rPr>
        <w:t>70.6</w:t>
      </w:r>
      <w:r>
        <w:rPr>
          <w:rFonts w:hint="eastAsia" w:ascii="仿宋_GB2312" w:hAnsi="仿宋_GB2312" w:eastAsia="仿宋_GB2312" w:cs="仿宋_GB2312"/>
          <w:color w:val="0C0C0C"/>
          <w:spacing w:val="-6"/>
          <w:kern w:val="2"/>
          <w:sz w:val="32"/>
          <w:szCs w:val="32"/>
          <w:highlight w:val="none"/>
          <w:u w:val="none"/>
          <w:lang w:val="en-US" w:eastAsia="zh-CN" w:bidi="ar-SA"/>
        </w:rPr>
        <w:t>亿元，比2018年增长</w:t>
      </w:r>
      <w:r>
        <w:rPr>
          <w:rFonts w:hint="eastAsia" w:ascii="仿宋_GB2312" w:hAnsi="仿宋_GB2312" w:eastAsia="仿宋_GB2312" w:cs="仿宋_GB2312"/>
          <w:color w:val="0C0C0C"/>
          <w:sz w:val="32"/>
          <w:szCs w:val="32"/>
          <w:highlight w:val="none"/>
          <w:u w:val="none"/>
          <w:lang w:val="en-US" w:eastAsia="zh-CN"/>
        </w:rPr>
        <w:t>162.6%</w:t>
      </w:r>
      <w:r>
        <w:rPr>
          <w:rFonts w:hint="eastAsia" w:ascii="仿宋_GB2312" w:hAnsi="仿宋_GB2312" w:eastAsia="仿宋_GB2312" w:cs="仿宋_GB2312"/>
          <w:color w:val="0C0C0C"/>
          <w:spacing w:val="-6"/>
          <w:kern w:val="2"/>
          <w:sz w:val="32"/>
          <w:szCs w:val="32"/>
          <w:highlight w:val="none"/>
          <w:u w:val="none"/>
          <w:lang w:val="en-US" w:eastAsia="zh-CN" w:bidi="ar-SA"/>
        </w:rPr>
        <w:t>。</w:t>
      </w:r>
    </w:p>
    <w:p>
      <w:pPr>
        <w:pStyle w:val="9"/>
        <w:keepNext w:val="0"/>
        <w:keepLines w:val="0"/>
        <w:pageBreakBefore w:val="0"/>
        <w:kinsoku/>
        <w:wordWrap/>
        <w:overflowPunct/>
        <w:topLinePunct w:val="0"/>
        <w:autoSpaceDE/>
        <w:autoSpaceDN/>
        <w:bidi w:val="0"/>
        <w:snapToGrid/>
        <w:spacing w:line="580" w:lineRule="exact"/>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0" w:firstLineChars="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注释：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[1]本公报中的行政事业及非企业法人单位，不包括执行企业会计制度的事业法人单位、民办非企业法人单位和基金会，农民专业合作社，农村集体经济组织和除宗教活动场所以外的机构类型为其他组织机构的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0"/>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登记注册统计类别：根据国家统计局、国家市场监督管理总局《关于市场主体统计分类的划分规定》（国统字〔2023〕14号）确定，包括内资企业、港澳台投资企业和外商投资企业，以及农民专业合作社（联合社）等其他统计类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32" w:firstLineChars="200"/>
        <w:jc w:val="both"/>
        <w:textAlignment w:val="auto"/>
        <w:rPr>
          <w:rFonts w:hint="eastAsia" w:ascii="Times New Roman" w:hAnsi="Times New Roman" w:cs="Times New Roman"/>
          <w:color w:val="0C0C0C"/>
          <w:kern w:val="2"/>
          <w:sz w:val="36"/>
          <w:szCs w:val="36"/>
          <w:u w:val="none"/>
          <w:lang w:val="en-US" w:eastAsia="zh-CN" w:bidi="ar-SA"/>
        </w:rPr>
      </w:pPr>
      <w:r>
        <w:rPr>
          <w:rFonts w:hint="eastAsia" w:ascii="仿宋_GB2312" w:hAnsi="仿宋_GB2312" w:eastAsia="仿宋_GB2312" w:cs="仿宋_GB2312"/>
          <w:i w:val="0"/>
          <w:caps w:val="0"/>
          <w:color w:val="0C0C0C"/>
          <w:spacing w:val="0"/>
          <w:kern w:val="0"/>
          <w:sz w:val="32"/>
          <w:szCs w:val="32"/>
          <w:highlight w:val="none"/>
          <w:lang w:val="en-US" w:eastAsia="zh-CN" w:bidi="ar"/>
        </w:rPr>
        <w:t>[3]表中的合计数和部分计算数据因小数取舍而产生的误差，均未作机械调整。为保证数据精确度，个别数据保留2位小数。</w:t>
      </w:r>
    </w:p>
    <w:p/>
    <w:sectPr>
      <w:headerReference r:id="rId5" w:type="default"/>
      <w:footerReference r:id="rId7" w:type="default"/>
      <w:headerReference r:id="rId6" w:type="even"/>
      <w:footerReference r:id="rId8" w:type="even"/>
      <w:footnotePr>
        <w:numFmt w:val="decimal"/>
        <w:numRestart w:val="eachPage"/>
      </w:footnotePr>
      <w:pgSz w:w="11906" w:h="16838"/>
      <w:pgMar w:top="2098" w:right="1474" w:bottom="1984" w:left="1587" w:header="851" w:footer="1474" w:gutter="0"/>
      <w:pgBorders>
        <w:top w:val="none" w:sz="0" w:space="0"/>
        <w:left w:val="none" w:sz="0" w:space="0"/>
        <w:bottom w:val="none" w:sz="0" w:space="0"/>
        <w:right w:val="none" w:sz="0" w:space="0"/>
      </w:pgBorders>
      <w:pgNumType w:fmt="decimal"/>
      <w:cols w:space="72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Arial"/>
    <w:panose1 w:val="020F0502020204030204"/>
    <w:charset w:val="00"/>
    <w:family w:val="swiss"/>
    <w:pitch w:val="default"/>
    <w:sig w:usb0="00000000" w:usb1="00000000" w:usb2="00000001" w:usb3="00000000" w:csb0="0000019F" w:csb1="00000000"/>
  </w:font>
  <w:font w:name="Arial">
    <w:panose1 w:val="020B0704020202020204"/>
    <w:charset w:val="00"/>
    <w:family w:val="auto"/>
    <w:pitch w:val="default"/>
    <w:sig w:usb0="E0002AFF" w:usb1="C0007843" w:usb2="00000009" w:usb3="00000000" w:csb0="400001FF" w:csb1="FFFF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141" w:firstLine="560"/>
      <w:jc w:val="right"/>
      <w:rPr>
        <w:rFonts w:ascii="仿宋_GB2312" w:hAnsi="宋体" w:eastAsia="仿宋_GB2312"/>
        <w:caps/>
        <w:color w:val="auto"/>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spacing w:line="240" w:lineRule="auto"/>
                            <w:ind w:left="320" w:leftChars="100" w:right="320" w:rightChars="10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6"/>
                      <w:spacing w:line="240" w:lineRule="auto"/>
                      <w:ind w:left="320" w:leftChars="100" w:right="320" w:rightChars="10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right="141" w:firstLine="0" w:firstLineChars="0"/>
      <w:rPr>
        <w:rFonts w:ascii="仿宋_GB2312" w:hAnsi="宋体" w:eastAsia="仿宋_GB2312"/>
        <w:caps/>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ql5uc8AAAAFAQAADwAAAAAAAAABACAAAAA4AAAAZHJzL2Rvd25yZXYueG1sUEsBAhQAFAAA&#10;AAgAh07iQOkHDu/iAQAAzAMAAA4AAAAAAAAAAQAgAAAANAEAAGRycy9lMm9Eb2MueG1sUEsFBgAA&#10;AAAGAAYAWQEAAIgFAAAAAA==&#10;">
              <v:fill on="f" focussize="0,0"/>
              <v:stroke on="f"/>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32"/>
      </w:pPr>
      <w:r>
        <w:separator/>
      </w:r>
    </w:p>
  </w:footnote>
  <w:footnote w:type="continuationSeparator" w:id="3">
    <w:p>
      <w:pPr>
        <w:spacing w:line="240" w:lineRule="auto"/>
        <w:ind w:firstLine="632"/>
      </w:pPr>
      <w:r>
        <w:continuationSeparator/>
      </w:r>
    </w:p>
  </w:footnote>
  <w:footnote w:id="0">
    <w:p>
      <w:pPr>
        <w:pStyle w:val="8"/>
        <w:snapToGrid w:val="0"/>
        <w:spacing w:line="240" w:lineRule="auto"/>
        <w:ind w:firstLine="0" w:firstLineChars="0"/>
        <w:jc w:val="both"/>
        <w:textAlignment w:val="auto"/>
        <w:rPr>
          <w:rStyle w:val="12"/>
          <w:rFonts w:hint="eastAsia" w:eastAsia="宋体" w:cs="Times New Roman"/>
          <w:szCs w:val="18"/>
          <w:vertAlign w:val="superscript"/>
          <w:lang w:val="en-US" w:eastAsia="zh-CN"/>
        </w:rPr>
      </w:pPr>
      <w:r>
        <w:rPr>
          <w:rStyle w:val="12"/>
          <w:rFonts w:hint="eastAsia" w:ascii="Calibri" w:hAnsi="Calibri" w:eastAsia="宋体" w:cs="Times New Roman"/>
          <w:vertAlign w:val="superscript"/>
          <w:lang w:val="en-US" w:eastAsia="zh-CN"/>
        </w:rPr>
        <w:footnoteRef/>
      </w:r>
      <w:r>
        <w:rPr>
          <w:rStyle w:val="12"/>
          <w:rFonts w:hint="eastAsia" w:ascii="Calibri" w:hAnsi="Calibri" w:eastAsia="宋体" w:cs="Times New Roman"/>
          <w:vertAlign w:val="superscript"/>
          <w:lang w:val="en-US" w:eastAsia="zh-CN"/>
        </w:rPr>
        <w:t xml:space="preserve"> </w:t>
      </w:r>
      <w:r>
        <w:rPr>
          <w:rStyle w:val="12"/>
          <w:rFonts w:hint="eastAsia" w:eastAsia="宋体" w:cs="Times New Roman"/>
          <w:szCs w:val="18"/>
          <w:vertAlign w:val="baseline"/>
          <w:lang w:val="en-US" w:eastAsia="zh-CN"/>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52E7E"/>
    <w:rsid w:val="06C978AA"/>
    <w:rsid w:val="07796DF7"/>
    <w:rsid w:val="1D7F5040"/>
    <w:rsid w:val="32E3020C"/>
    <w:rsid w:val="3AB016EA"/>
    <w:rsid w:val="3D716507"/>
    <w:rsid w:val="42252E7E"/>
    <w:rsid w:val="492470E3"/>
    <w:rsid w:val="4A2777B5"/>
    <w:rsid w:val="4FE97323"/>
    <w:rsid w:val="643C69F5"/>
    <w:rsid w:val="728124EA"/>
    <w:rsid w:val="7E3FD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2"/>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1.正文"/>
    <w:basedOn w:val="1"/>
    <w:next w:val="3"/>
    <w:qFormat/>
    <w:uiPriority w:val="0"/>
    <w:rPr>
      <w:rFonts w:ascii="Times New Roman" w:hAnsi="Times New Roman" w:eastAsia="宋体" w:cs="Times New Roman"/>
      <w:szCs w:val="21"/>
    </w:rPr>
  </w:style>
  <w:style w:type="paragraph" w:styleId="3">
    <w:name w:val="index 5"/>
    <w:basedOn w:val="1"/>
    <w:next w:val="1"/>
    <w:qFormat/>
    <w:uiPriority w:val="0"/>
    <w:pPr>
      <w:widowControl w:val="0"/>
      <w:jc w:val="both"/>
    </w:pPr>
    <w:rPr>
      <w:rFonts w:ascii="Calibri" w:hAnsi="Calibri" w:eastAsia="宋体" w:cs="Times New Roman"/>
      <w:kern w:val="2"/>
      <w:sz w:val="21"/>
      <w:lang w:val="en-US" w:eastAsia="zh-CN" w:bidi="ar-SA"/>
    </w:rPr>
  </w:style>
  <w:style w:type="paragraph" w:styleId="4">
    <w:name w:val="Normal Indent"/>
    <w:basedOn w:val="1"/>
    <w:next w:val="1"/>
    <w:qFormat/>
    <w:uiPriority w:val="0"/>
  </w:style>
  <w:style w:type="paragraph" w:styleId="5">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6">
    <w:name w:val="footer"/>
    <w:basedOn w:val="1"/>
    <w:next w:val="1"/>
    <w:semiHidden/>
    <w:qFormat/>
    <w:uiPriority w:val="99"/>
    <w:pPr>
      <w:tabs>
        <w:tab w:val="center" w:pos="4153"/>
        <w:tab w:val="right" w:pos="8306"/>
      </w:tabs>
      <w:snapToGrid w:val="0"/>
      <w:spacing w:line="240" w:lineRule="atLeast"/>
      <w:jc w:val="left"/>
    </w:pPr>
    <w:rPr>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8">
    <w:name w:val="footnote text"/>
    <w:basedOn w:val="1"/>
    <w:unhideWhenUsed/>
    <w:qFormat/>
    <w:uiPriority w:val="99"/>
    <w:pPr>
      <w:snapToGrid w:val="0"/>
      <w:jc w:val="left"/>
    </w:pPr>
    <w:rPr>
      <w:sz w:val="18"/>
    </w:rPr>
  </w:style>
  <w:style w:type="paragraph" w:styleId="9">
    <w:name w:val="Body Text First Indent 2"/>
    <w:basedOn w:val="5"/>
    <w:next w:val="1"/>
    <w:qFormat/>
    <w:uiPriority w:val="0"/>
    <w:pPr>
      <w:ind w:firstLine="420" w:firstLineChars="200"/>
    </w:pPr>
  </w:style>
  <w:style w:type="character" w:styleId="12">
    <w:name w:val="footnote reference"/>
    <w:basedOn w:val="11"/>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2583</Words>
  <Characters>3297</Characters>
  <Lines>0</Lines>
  <Paragraphs>0</Paragraphs>
  <TotalTime>13</TotalTime>
  <ScaleCrop>false</ScaleCrop>
  <LinksUpToDate>false</LinksUpToDate>
  <CharactersWithSpaces>3331</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2025-03-17T16:10:00Z</dcterms:created>
  <dc:creator>WPS_1663469602</dc:creator>
  <cp:lastModifiedBy>海沧区统计局</cp:lastModifiedBy>
  <dcterms:modified xsi:type="dcterms:W3CDTF">2025-05-23T08:21:22Z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5BA88386E86946CFB4C913C98EA0D773_13</vt:lpwstr>
  </property>
  <property fmtid="{D5CDD505-2E9C-101B-9397-08002B2CF9AE}" pid="4" name="KSOTemplateDocerSaveRecord">
    <vt:lpwstr>eyJoZGlkIjoiZGJjMGRiMDdmMDdlOWU5YjdiNGYyNDg2YjkwMWQ4ODEiLCJ1c2VySWQiOiIxNDEzNzM4MTc5In0=</vt:lpwstr>
  </property>
</Properties>
</file>