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方正小标宋简体" w:hAnsi="方正小标宋简体" w:eastAsia="方正小标宋简体" w:cs="方正小标宋简体"/>
          <w:bCs/>
          <w:color w:val="auto"/>
          <w:kern w:val="0"/>
          <w:sz w:val="44"/>
          <w:szCs w:val="44"/>
          <w:highlight w:val="none"/>
          <w:shd w:val="clear" w:color="auto" w:fill="FFFFFF"/>
          <w:lang w:val="en-US" w:eastAsia="zh-CN" w:bidi="ar"/>
        </w:rPr>
      </w:pPr>
      <w:r>
        <w:rPr>
          <w:rFonts w:hint="eastAsia" w:ascii="方正小标宋简体" w:hAnsi="方正小标宋简体" w:eastAsia="方正小标宋简体" w:cs="方正小标宋简体"/>
          <w:bCs/>
          <w:color w:val="auto"/>
          <w:kern w:val="0"/>
          <w:sz w:val="44"/>
          <w:szCs w:val="44"/>
          <w:highlight w:val="none"/>
          <w:shd w:val="clear" w:color="auto" w:fill="FFFFFF"/>
          <w:lang w:val="en-US" w:eastAsia="zh-CN" w:bidi="ar"/>
        </w:rPr>
        <w:t>厦门市海沧区第五次全国经济普查公报</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方正小标宋简体" w:hAnsi="方正小标宋简体" w:eastAsia="方正小标宋简体" w:cs="方正小标宋简体"/>
          <w:bCs/>
          <w:color w:val="auto"/>
          <w:kern w:val="0"/>
          <w:sz w:val="44"/>
          <w:szCs w:val="44"/>
          <w:highlight w:val="none"/>
          <w:shd w:val="clear" w:color="auto" w:fill="FFFFFF"/>
          <w:lang w:val="en-US" w:eastAsia="zh-CN" w:bidi="ar"/>
        </w:rPr>
      </w:pPr>
      <w:r>
        <w:rPr>
          <w:rFonts w:hint="eastAsia" w:ascii="方正小标宋简体" w:hAnsi="方正小标宋简体" w:eastAsia="方正小标宋简体" w:cs="方正小标宋简体"/>
          <w:bCs/>
          <w:color w:val="auto"/>
          <w:kern w:val="0"/>
          <w:sz w:val="44"/>
          <w:szCs w:val="44"/>
          <w:highlight w:val="none"/>
          <w:shd w:val="clear" w:color="auto" w:fill="FFFFFF"/>
          <w:lang w:val="en-US" w:eastAsia="zh-CN" w:bidi="ar"/>
        </w:rPr>
        <w:t>（第六号）</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方正小标宋简体" w:hAnsi="方正小标宋简体" w:eastAsia="方正小标宋简体" w:cs="方正小标宋简体"/>
          <w:bCs/>
          <w:color w:val="auto"/>
          <w:kern w:val="0"/>
          <w:sz w:val="44"/>
          <w:szCs w:val="44"/>
          <w:highlight w:val="none"/>
          <w:shd w:val="clear" w:color="auto" w:fill="FFFFFF"/>
          <w:lang w:val="en-US" w:eastAsia="zh-CN" w:bidi="ar"/>
        </w:rPr>
      </w:pPr>
      <w:r>
        <w:rPr>
          <w:rFonts w:hint="eastAsia" w:ascii="方正小标宋简体" w:hAnsi="方正小标宋简体" w:eastAsia="方正小标宋简体" w:cs="方正小标宋简体"/>
          <w:bCs/>
          <w:color w:val="auto"/>
          <w:kern w:val="0"/>
          <w:sz w:val="44"/>
          <w:szCs w:val="44"/>
          <w:highlight w:val="none"/>
          <w:shd w:val="clear" w:color="auto" w:fill="FFFFFF"/>
          <w:lang w:val="en-US" w:eastAsia="zh-CN" w:bidi="ar"/>
        </w:rPr>
        <w:t>——部分新兴产业发展情况</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center"/>
        <w:textAlignment w:val="auto"/>
        <w:rPr>
          <w:rFonts w:hint="eastAsia" w:ascii="楷体_GB2312" w:hAnsi="楷体_GB2312" w:eastAsia="楷体_GB2312" w:cs="楷体_GB2312"/>
          <w:color w:val="0C0C0C"/>
          <w:kern w:val="2"/>
          <w:sz w:val="32"/>
          <w:szCs w:val="32"/>
          <w:lang w:val="en-US" w:eastAsia="zh-CN" w:bidi="ar-SA"/>
        </w:rPr>
      </w:pPr>
      <w:r>
        <w:rPr>
          <w:rFonts w:hint="eastAsia" w:ascii="楷体_GB2312" w:hAnsi="楷体_GB2312" w:eastAsia="楷体_GB2312" w:cs="楷体_GB2312"/>
          <w:color w:val="0C0C0C"/>
          <w:kern w:val="2"/>
          <w:sz w:val="32"/>
          <w:szCs w:val="32"/>
          <w:lang w:val="en-US" w:eastAsia="zh-CN" w:bidi="ar-SA"/>
        </w:rPr>
        <w:t>厦门市海沧区统计局</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center"/>
        <w:textAlignment w:val="auto"/>
        <w:rPr>
          <w:rFonts w:hint="eastAsia" w:ascii="楷体_GB2312" w:hAnsi="楷体_GB2312" w:eastAsia="楷体_GB2312" w:cs="楷体_GB2312"/>
          <w:color w:val="0C0C0C"/>
          <w:kern w:val="2"/>
          <w:sz w:val="32"/>
          <w:szCs w:val="32"/>
          <w:lang w:val="en-US" w:eastAsia="zh-CN" w:bidi="ar-SA"/>
        </w:rPr>
      </w:pPr>
      <w:r>
        <w:rPr>
          <w:rFonts w:hint="eastAsia" w:ascii="楷体_GB2312" w:hAnsi="楷体_GB2312" w:eastAsia="楷体_GB2312" w:cs="楷体_GB2312"/>
          <w:color w:val="0C0C0C"/>
          <w:kern w:val="2"/>
          <w:sz w:val="32"/>
          <w:szCs w:val="32"/>
          <w:lang w:val="en-US" w:eastAsia="zh-CN" w:bidi="ar-SA"/>
        </w:rPr>
        <w:t>厦门市海沧区第五次全国经济普查领导小组办公室</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center"/>
        <w:textAlignment w:val="auto"/>
        <w:rPr>
          <w:rFonts w:hint="default" w:ascii="楷体_GB2312" w:hAnsi="楷体_GB2312" w:eastAsia="楷体_GB2312" w:cs="楷体_GB2312"/>
          <w:color w:val="0C0C0C"/>
          <w:kern w:val="2"/>
          <w:sz w:val="32"/>
          <w:szCs w:val="32"/>
          <w:lang w:val="en-US" w:eastAsia="zh-CN" w:bidi="ar-SA"/>
        </w:rPr>
      </w:pPr>
      <w:r>
        <w:rPr>
          <w:rFonts w:hint="eastAsia" w:ascii="楷体_GB2312" w:hAnsi="楷体_GB2312" w:eastAsia="楷体_GB2312" w:cs="楷体_GB2312"/>
          <w:color w:val="0C0C0C"/>
          <w:kern w:val="2"/>
          <w:sz w:val="32"/>
          <w:szCs w:val="32"/>
          <w:lang w:val="en-US" w:eastAsia="zh-CN" w:bidi="ar-SA"/>
        </w:rPr>
        <w:t>（2025年5月23</w:t>
      </w:r>
      <w:bookmarkStart w:id="0" w:name="_GoBack"/>
      <w:bookmarkEnd w:id="0"/>
      <w:r>
        <w:rPr>
          <w:rFonts w:hint="eastAsia" w:ascii="楷体_GB2312" w:hAnsi="楷体_GB2312" w:eastAsia="楷体_GB2312" w:cs="楷体_GB2312"/>
          <w:color w:val="0C0C0C"/>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center"/>
        <w:textAlignment w:val="auto"/>
        <w:rPr>
          <w:rFonts w:hint="eastAsia" w:ascii="楷体_GB2312" w:hAnsi="楷体_GB2312" w:eastAsia="楷体_GB2312" w:cs="楷体_GB2312"/>
          <w:color w:val="0C0C0C"/>
          <w:kern w:val="2"/>
          <w:sz w:val="32"/>
          <w:szCs w:val="32"/>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08"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根据第五次全国经济普查结果，现将我区第二产业和第三产业中战略性新兴产业、高技术产业、数字经济核心产业等新兴产业的主要数据公布如下：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32" w:firstLineChars="200"/>
        <w:jc w:val="both"/>
        <w:textAlignment w:val="auto"/>
        <w:rPr>
          <w:rFonts w:hint="eastAsia" w:ascii="仿宋_GB2312" w:hAnsi="仿宋_GB2312" w:eastAsia="仿宋_GB2312" w:cs="仿宋_GB2312"/>
          <w:b w:val="0"/>
          <w:bCs/>
          <w:i w:val="0"/>
          <w:caps w:val="0"/>
          <w:color w:val="auto"/>
          <w:spacing w:val="0"/>
          <w:kern w:val="0"/>
          <w:sz w:val="32"/>
          <w:szCs w:val="32"/>
          <w:highlight w:val="none"/>
          <w:lang w:val="en-US" w:eastAsia="zh-CN" w:bidi="ar"/>
        </w:rPr>
      </w:pPr>
      <w:r>
        <w:rPr>
          <w:rFonts w:hint="eastAsia" w:ascii="黑体" w:hAnsi="黑体" w:eastAsia="黑体" w:cs="黑体"/>
          <w:b w:val="0"/>
          <w:bCs/>
          <w:i w:val="0"/>
          <w:caps w:val="0"/>
          <w:color w:val="auto"/>
          <w:spacing w:val="0"/>
          <w:kern w:val="0"/>
          <w:sz w:val="32"/>
          <w:szCs w:val="32"/>
          <w:highlight w:val="none"/>
          <w:lang w:val="en-US" w:eastAsia="zh-CN" w:bidi="ar"/>
        </w:rPr>
        <w:t>一、战略性新兴产业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楷体_GB2312" w:hAnsi="楷体_GB2312" w:eastAsia="楷体_GB2312" w:cs="楷体_GB2312"/>
          <w:i w:val="0"/>
          <w:caps w:val="0"/>
          <w:color w:val="auto"/>
          <w:spacing w:val="0"/>
          <w:kern w:val="0"/>
          <w:sz w:val="32"/>
          <w:szCs w:val="32"/>
          <w:highlight w:val="none"/>
          <w:lang w:val="en-US" w:eastAsia="zh-CN" w:bidi="ar"/>
        </w:rPr>
      </w:pPr>
      <w:r>
        <w:rPr>
          <w:rFonts w:hint="eastAsia" w:ascii="楷体_GB2312" w:hAnsi="楷体_GB2312" w:eastAsia="楷体_GB2312" w:cs="楷体_GB2312"/>
          <w:i w:val="0"/>
          <w:caps w:val="0"/>
          <w:color w:val="auto"/>
          <w:spacing w:val="0"/>
          <w:kern w:val="0"/>
          <w:sz w:val="32"/>
          <w:szCs w:val="32"/>
          <w:highlight w:val="none"/>
          <w:lang w:val="en-US" w:eastAsia="zh-CN" w:bidi="ar"/>
        </w:rPr>
        <w:t>（一）工业战略性新兴产业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8"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pacing w:val="-6"/>
          <w:kern w:val="2"/>
          <w:sz w:val="32"/>
          <w:szCs w:val="32"/>
          <w:highlight w:val="none"/>
          <w:u w:val="none"/>
          <w:lang w:val="en-US" w:eastAsia="zh-CN" w:bidi="ar-SA"/>
        </w:rPr>
        <w:t>2023年末，全区从事战略性新兴产业生产的规模以上工业企业</w:t>
      </w:r>
      <w:r>
        <w:rPr>
          <w:rFonts w:hint="eastAsia" w:ascii="仿宋_GB2312" w:hAnsi="仿宋_GB2312" w:eastAsia="仿宋_GB2312" w:cs="仿宋_GB2312"/>
          <w:color w:val="0C0C0C"/>
          <w:spacing w:val="-6"/>
          <w:kern w:val="2"/>
          <w:sz w:val="32"/>
          <w:szCs w:val="32"/>
          <w:highlight w:val="none"/>
          <w:u w:val="none"/>
          <w:lang w:val="en-US" w:eastAsia="zh-CN" w:bidi="ar-SA"/>
        </w:rPr>
        <w:t>法人单位</w:t>
      </w:r>
      <w:r>
        <w:rPr>
          <w:rStyle w:val="12"/>
          <w:rFonts w:hint="eastAsia" w:ascii="仿宋_GB2312" w:hAnsi="仿宋_GB2312" w:eastAsia="仿宋_GB2312" w:cs="仿宋_GB2312"/>
          <w:i w:val="0"/>
          <w:caps w:val="0"/>
          <w:color w:val="0C0C0C"/>
          <w:spacing w:val="0"/>
          <w:kern w:val="0"/>
          <w:sz w:val="32"/>
          <w:szCs w:val="32"/>
          <w:highlight w:val="none"/>
          <w:lang w:val="en-US" w:eastAsia="zh-CN" w:bidi="ar"/>
        </w:rPr>
        <w:footnoteReference w:id="0"/>
      </w:r>
      <w:r>
        <w:rPr>
          <w:rFonts w:hint="eastAsia" w:ascii="仿宋_GB2312" w:hAnsi="仿宋_GB2312" w:eastAsia="仿宋_GB2312" w:cs="仿宋_GB2312"/>
          <w:color w:val="0C0C0C"/>
          <w:sz w:val="32"/>
          <w:szCs w:val="32"/>
          <w:highlight w:val="none"/>
          <w:u w:val="none"/>
          <w:lang w:val="en-US" w:eastAsia="zh-CN"/>
        </w:rPr>
        <w:t>122</w:t>
      </w:r>
      <w:r>
        <w:rPr>
          <w:rFonts w:hint="eastAsia" w:ascii="仿宋_GB2312" w:hAnsi="仿宋_GB2312" w:eastAsia="仿宋_GB2312" w:cs="仿宋_GB2312"/>
          <w:color w:val="0C0C0C"/>
          <w:spacing w:val="-6"/>
          <w:kern w:val="2"/>
          <w:sz w:val="32"/>
          <w:szCs w:val="32"/>
          <w:highlight w:val="none"/>
          <w:u w:val="none"/>
          <w:lang w:val="en" w:eastAsia="zh-CN" w:bidi="ar-SA"/>
        </w:rPr>
        <w:t>个</w:t>
      </w:r>
      <w:r>
        <w:rPr>
          <w:rStyle w:val="12"/>
          <w:rFonts w:hint="eastAsia" w:ascii="仿宋_GB2312" w:hAnsi="仿宋_GB2312" w:eastAsia="仿宋_GB2312" w:cs="仿宋_GB2312"/>
          <w:i w:val="0"/>
          <w:caps w:val="0"/>
          <w:color w:val="0C0C0C"/>
          <w:spacing w:val="0"/>
          <w:kern w:val="0"/>
          <w:sz w:val="32"/>
          <w:szCs w:val="32"/>
          <w:highlight w:val="none"/>
          <w:lang w:val="en-US" w:eastAsia="zh-CN" w:bidi="ar"/>
        </w:rPr>
        <w:footnoteReference w:id="1"/>
      </w:r>
      <w:r>
        <w:rPr>
          <w:rFonts w:hint="eastAsia" w:ascii="仿宋_GB2312" w:hAnsi="仿宋_GB2312" w:eastAsia="仿宋_GB2312" w:cs="仿宋_GB2312"/>
          <w:color w:val="auto"/>
          <w:spacing w:val="-6"/>
          <w:kern w:val="2"/>
          <w:sz w:val="32"/>
          <w:szCs w:val="32"/>
          <w:highlight w:val="none"/>
          <w:u w:val="none"/>
          <w:lang w:val="en-US" w:eastAsia="zh-CN" w:bidi="ar-SA"/>
        </w:rPr>
        <w:t>，占规模以上工业企业法人单位的23.7%。其中，新一代信息技术产业34个，占工业战略性新兴产业企业法人单位的27.9%；高端装备制造业6个，占4.9%；新材料产业13个，占10.7%；生物产业56个，占45.9%；新能源汽车产业4个，占3.3%；新能源产业2个，占1.6%；绿色环保产业6个，占4.9%；海洋装备产业1个，占0.8%。</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32" w:firstLineChars="200"/>
        <w:jc w:val="both"/>
        <w:textAlignment w:val="auto"/>
        <w:rPr>
          <w:rFonts w:hint="eastAsia" w:ascii="黑体" w:hAnsi="黑体" w:eastAsia="黑体" w:cs="黑体"/>
          <w:b w:val="0"/>
          <w:bCs/>
          <w:i w:val="0"/>
          <w:caps w:val="0"/>
          <w:color w:val="auto"/>
          <w:spacing w:val="0"/>
          <w:kern w:val="0"/>
          <w:sz w:val="32"/>
          <w:szCs w:val="32"/>
          <w:highlight w:val="none"/>
          <w:lang w:val="en-US" w:eastAsia="zh-CN" w:bidi="ar"/>
        </w:rPr>
      </w:pPr>
      <w:r>
        <w:rPr>
          <w:rFonts w:hint="eastAsia" w:ascii="黑体" w:hAnsi="黑体" w:eastAsia="黑体" w:cs="黑体"/>
          <w:b w:val="0"/>
          <w:bCs/>
          <w:i w:val="0"/>
          <w:caps w:val="0"/>
          <w:color w:val="auto"/>
          <w:spacing w:val="0"/>
          <w:kern w:val="0"/>
          <w:sz w:val="32"/>
          <w:szCs w:val="32"/>
          <w:highlight w:val="none"/>
          <w:lang w:val="en-US" w:eastAsia="zh-CN" w:bidi="ar"/>
        </w:rPr>
        <w:t>二、高技术产业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楷体_GB2312" w:hAnsi="楷体_GB2312" w:eastAsia="楷体_GB2312" w:cs="楷体_GB2312"/>
          <w:i w:val="0"/>
          <w:caps w:val="0"/>
          <w:color w:val="auto"/>
          <w:spacing w:val="0"/>
          <w:sz w:val="32"/>
          <w:szCs w:val="32"/>
          <w:highlight w:val="none"/>
        </w:rPr>
      </w:pPr>
      <w:r>
        <w:rPr>
          <w:rFonts w:hint="eastAsia" w:ascii="楷体_GB2312" w:hAnsi="楷体_GB2312" w:eastAsia="楷体_GB2312" w:cs="楷体_GB2312"/>
          <w:i w:val="0"/>
          <w:caps w:val="0"/>
          <w:color w:val="auto"/>
          <w:spacing w:val="0"/>
          <w:kern w:val="0"/>
          <w:sz w:val="32"/>
          <w:szCs w:val="32"/>
          <w:highlight w:val="none"/>
          <w:lang w:val="en-US" w:eastAsia="zh-CN" w:bidi="ar"/>
        </w:rPr>
        <w:t>（一）高技术制造业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8"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2023年末，全区共有规模以上高技术制造业企业法人单位128个，占规模以上制造业企业法人单位的25.0%，比2018年末提高1.5个百分点。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8"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2023年，全区规模以上高技术制造业企业法人单位全年实现营业收入549.40亿元；占规模以上制造业企业法人单位营业收入的29.6%。</w:t>
      </w:r>
    </w:p>
    <w:p>
      <w:pPr>
        <w:pStyle w:val="2"/>
        <w:rPr>
          <w:rFonts w:hint="eastAsia"/>
          <w:color w:val="auto"/>
          <w:highlight w:val="none"/>
          <w:lang w:val="en-US" w:eastAsia="zh-CN"/>
        </w:rPr>
      </w:pPr>
      <w:r>
        <w:rPr>
          <w:rFonts w:hint="eastAsia" w:ascii="仿宋_GB2312" w:hAnsi="仿宋_GB2312" w:eastAsia="仿宋_GB2312" w:cs="仿宋_GB2312"/>
          <w:color w:val="auto"/>
          <w:spacing w:val="-6"/>
          <w:kern w:val="2"/>
          <w:sz w:val="32"/>
          <w:szCs w:val="32"/>
          <w:highlight w:val="none"/>
          <w:u w:val="none"/>
          <w:lang w:val="en-US" w:eastAsia="zh-CN" w:bidi="ar-SA"/>
        </w:rPr>
        <w:t>2023年，规模以上高技术制造业企业法人单位R&amp;D（全称研究与试验发展，以下简称R&amp;D）经费支出29.96亿元，比2018年增长471.2%。</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8"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2023年，规模以上高技术制造业企业法人单位全年专利申请量</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1310</w:t>
      </w:r>
      <w:r>
        <w:rPr>
          <w:rFonts w:hint="eastAsia" w:ascii="仿宋_GB2312" w:hAnsi="仿宋_GB2312" w:eastAsia="仿宋_GB2312" w:cs="仿宋_GB2312"/>
          <w:color w:val="auto"/>
          <w:spacing w:val="-6"/>
          <w:kern w:val="2"/>
          <w:sz w:val="32"/>
          <w:szCs w:val="32"/>
          <w:highlight w:val="none"/>
          <w:u w:val="none"/>
          <w:lang w:val="en-US" w:eastAsia="zh-CN" w:bidi="ar-SA"/>
        </w:rPr>
        <w:t>件，其中发明专利申请</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577</w:t>
      </w:r>
      <w:r>
        <w:rPr>
          <w:rFonts w:hint="eastAsia" w:ascii="仿宋_GB2312" w:hAnsi="仿宋_GB2312" w:eastAsia="仿宋_GB2312" w:cs="仿宋_GB2312"/>
          <w:color w:val="auto"/>
          <w:spacing w:val="-6"/>
          <w:kern w:val="2"/>
          <w:sz w:val="32"/>
          <w:szCs w:val="32"/>
          <w:highlight w:val="none"/>
          <w:u w:val="none"/>
          <w:lang w:val="en-US" w:eastAsia="zh-CN" w:bidi="ar-SA"/>
        </w:rPr>
        <w:t>件，分别比</w:t>
      </w:r>
      <w:r>
        <w:rPr>
          <w:rFonts w:hint="eastAsia" w:ascii="仿宋_GB2312" w:hAnsi="仿宋_GB2312" w:eastAsia="仿宋_GB2312" w:cs="仿宋_GB2312"/>
          <w:color w:val="auto"/>
          <w:spacing w:val="-6"/>
          <w:kern w:val="2"/>
          <w:sz w:val="32"/>
          <w:szCs w:val="32"/>
          <w:highlight w:val="none"/>
          <w:u w:val="none"/>
          <w:lang w:val="en" w:eastAsia="zh-CN" w:bidi="ar-SA"/>
        </w:rPr>
        <w:t>20</w:t>
      </w:r>
      <w:r>
        <w:rPr>
          <w:rFonts w:hint="eastAsia" w:ascii="仿宋_GB2312" w:hAnsi="仿宋_GB2312" w:eastAsia="仿宋_GB2312" w:cs="仿宋_GB2312"/>
          <w:color w:val="auto"/>
          <w:spacing w:val="-6"/>
          <w:kern w:val="2"/>
          <w:sz w:val="32"/>
          <w:szCs w:val="32"/>
          <w:highlight w:val="none"/>
          <w:u w:val="none"/>
          <w:lang w:val="en-US" w:eastAsia="zh-CN" w:bidi="ar-SA"/>
        </w:rPr>
        <w:t>18年增长477.1%和513.8%。</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eastAsia" w:ascii="楷体_GB2312" w:hAnsi="楷体_GB2312" w:eastAsia="楷体_GB2312" w:cs="楷体_GB2312"/>
          <w:i w:val="0"/>
          <w:caps w:val="0"/>
          <w:color w:val="auto"/>
          <w:spacing w:val="0"/>
          <w:kern w:val="0"/>
          <w:sz w:val="32"/>
          <w:szCs w:val="32"/>
          <w:highlight w:val="none"/>
          <w:lang w:val="en-US" w:eastAsia="zh-CN" w:bidi="ar"/>
        </w:rPr>
      </w:pPr>
      <w:r>
        <w:rPr>
          <w:rFonts w:hint="eastAsia" w:ascii="楷体_GB2312" w:hAnsi="楷体_GB2312" w:eastAsia="楷体_GB2312" w:cs="楷体_GB2312"/>
          <w:i w:val="0"/>
          <w:caps w:val="0"/>
          <w:color w:val="auto"/>
          <w:spacing w:val="0"/>
          <w:kern w:val="0"/>
          <w:sz w:val="32"/>
          <w:szCs w:val="32"/>
          <w:highlight w:val="none"/>
          <w:lang w:val="en-US" w:eastAsia="zh-CN" w:bidi="ar"/>
        </w:rPr>
        <w:t>（二）高技术服务业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8"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2023年末，全区共有规模以上高技术服务业企业法人单位23个，占规模以上服务业企业法人单位的</w:t>
      </w:r>
      <w:r>
        <w:rPr>
          <w:rFonts w:hint="eastAsia" w:ascii="仿宋_GB2312" w:hAnsi="仿宋_GB2312" w:eastAsia="仿宋_GB2312" w:cs="仿宋_GB2312"/>
          <w:color w:val="auto"/>
          <w:sz w:val="32"/>
          <w:szCs w:val="32"/>
          <w:highlight w:val="none"/>
          <w:u w:val="none"/>
          <w:lang w:val="en-US" w:eastAsia="zh-CN"/>
        </w:rPr>
        <w:t>11.8</w:t>
      </w:r>
      <w:r>
        <w:rPr>
          <w:rFonts w:hint="eastAsia" w:ascii="仿宋_GB2312" w:hAnsi="仿宋_GB2312" w:eastAsia="仿宋_GB2312" w:cs="仿宋_GB2312"/>
          <w:color w:val="auto"/>
          <w:spacing w:val="-6"/>
          <w:kern w:val="2"/>
          <w:sz w:val="32"/>
          <w:szCs w:val="32"/>
          <w:highlight w:val="none"/>
          <w:u w:val="none"/>
          <w:lang w:val="en-US" w:eastAsia="zh-CN" w:bidi="ar-SA"/>
        </w:rPr>
        <w:t>%。其中，信息服务</w:t>
      </w:r>
      <w:r>
        <w:rPr>
          <w:rFonts w:hint="eastAsia" w:ascii="仿宋_GB2312" w:hAnsi="仿宋_GB2312" w:eastAsia="仿宋_GB2312" w:cs="仿宋_GB2312"/>
          <w:color w:val="auto"/>
          <w:sz w:val="32"/>
          <w:szCs w:val="32"/>
          <w:highlight w:val="none"/>
          <w:u w:val="none"/>
          <w:lang w:val="en-US" w:eastAsia="zh-CN"/>
        </w:rPr>
        <w:t>9</w:t>
      </w:r>
      <w:r>
        <w:rPr>
          <w:rFonts w:hint="eastAsia" w:ascii="仿宋_GB2312" w:hAnsi="仿宋_GB2312" w:eastAsia="仿宋_GB2312" w:cs="仿宋_GB2312"/>
          <w:color w:val="auto"/>
          <w:spacing w:val="-6"/>
          <w:kern w:val="2"/>
          <w:sz w:val="32"/>
          <w:szCs w:val="32"/>
          <w:highlight w:val="none"/>
          <w:u w:val="none"/>
          <w:lang w:val="en-US" w:eastAsia="zh-CN" w:bidi="ar-SA"/>
        </w:rPr>
        <w:t>个，占规模以上高技术服务业企业法人单位的</w:t>
      </w:r>
      <w:r>
        <w:rPr>
          <w:rFonts w:hint="eastAsia" w:ascii="仿宋_GB2312" w:hAnsi="仿宋_GB2312" w:eastAsia="仿宋_GB2312" w:cs="仿宋_GB2312"/>
          <w:color w:val="auto"/>
          <w:sz w:val="32"/>
          <w:szCs w:val="32"/>
          <w:highlight w:val="none"/>
          <w:u w:val="none"/>
          <w:lang w:val="en-US" w:eastAsia="zh-CN"/>
        </w:rPr>
        <w:t>39.1</w:t>
      </w:r>
      <w:r>
        <w:rPr>
          <w:rFonts w:hint="eastAsia" w:ascii="仿宋_GB2312" w:hAnsi="仿宋_GB2312" w:eastAsia="仿宋_GB2312" w:cs="仿宋_GB2312"/>
          <w:color w:val="auto"/>
          <w:spacing w:val="-6"/>
          <w:kern w:val="2"/>
          <w:sz w:val="32"/>
          <w:szCs w:val="32"/>
          <w:highlight w:val="none"/>
          <w:u w:val="none"/>
          <w:lang w:val="en-US" w:eastAsia="zh-CN" w:bidi="ar-SA"/>
        </w:rPr>
        <w:t>%；专业技术服务业的高技术服务</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pacing w:val="-6"/>
          <w:kern w:val="2"/>
          <w:sz w:val="32"/>
          <w:szCs w:val="32"/>
          <w:highlight w:val="none"/>
          <w:u w:val="none"/>
          <w:lang w:val="en-US" w:eastAsia="zh-CN" w:bidi="ar-SA"/>
        </w:rPr>
        <w:t>个，占规模以上高技术服务业企业法人单位的</w:t>
      </w:r>
      <w:r>
        <w:rPr>
          <w:rFonts w:hint="eastAsia" w:ascii="仿宋_GB2312" w:hAnsi="仿宋_GB2312" w:eastAsia="仿宋_GB2312" w:cs="仿宋_GB2312"/>
          <w:color w:val="auto"/>
          <w:sz w:val="32"/>
          <w:szCs w:val="32"/>
          <w:highlight w:val="none"/>
          <w:u w:val="none"/>
          <w:lang w:val="en-US" w:eastAsia="zh-CN"/>
        </w:rPr>
        <w:t>8.7</w:t>
      </w:r>
      <w:r>
        <w:rPr>
          <w:rFonts w:hint="eastAsia" w:ascii="仿宋_GB2312" w:hAnsi="仿宋_GB2312" w:eastAsia="仿宋_GB2312" w:cs="仿宋_GB2312"/>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8"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2023年，规模以上高技术服务业企业法人单位全年实现营业收入</w:t>
      </w:r>
      <w:r>
        <w:rPr>
          <w:rFonts w:hint="eastAsia" w:ascii="仿宋_GB2312" w:hAnsi="仿宋_GB2312" w:eastAsia="仿宋_GB2312" w:cs="仿宋_GB2312"/>
          <w:color w:val="auto"/>
          <w:sz w:val="32"/>
          <w:szCs w:val="32"/>
          <w:highlight w:val="none"/>
          <w:u w:val="none"/>
          <w:lang w:val="en-US" w:eastAsia="zh-CN"/>
        </w:rPr>
        <w:t>21.79</w:t>
      </w:r>
      <w:r>
        <w:rPr>
          <w:rFonts w:hint="eastAsia" w:ascii="仿宋_GB2312" w:hAnsi="仿宋_GB2312" w:eastAsia="仿宋_GB2312" w:cs="仿宋_GB2312"/>
          <w:color w:val="auto"/>
          <w:spacing w:val="-6"/>
          <w:kern w:val="2"/>
          <w:sz w:val="32"/>
          <w:szCs w:val="32"/>
          <w:highlight w:val="none"/>
          <w:u w:val="none"/>
          <w:lang w:val="en-US" w:eastAsia="zh-CN" w:bidi="ar-SA"/>
        </w:rPr>
        <w:t>亿元，占规模以上服务业企业法人单位营业收入的</w:t>
      </w:r>
      <w:r>
        <w:rPr>
          <w:rFonts w:hint="eastAsia" w:ascii="仿宋_GB2312" w:hAnsi="仿宋_GB2312" w:eastAsia="仿宋_GB2312" w:cs="仿宋_GB2312"/>
          <w:color w:val="auto"/>
          <w:sz w:val="32"/>
          <w:szCs w:val="32"/>
          <w:highlight w:val="none"/>
          <w:u w:val="none"/>
          <w:lang w:val="en-US" w:eastAsia="zh-CN"/>
        </w:rPr>
        <w:t>11.5</w:t>
      </w:r>
      <w:r>
        <w:rPr>
          <w:rFonts w:hint="eastAsia" w:ascii="仿宋_GB2312" w:hAnsi="仿宋_GB2312" w:eastAsia="仿宋_GB2312" w:cs="仿宋_GB2312"/>
          <w:color w:val="auto"/>
          <w:spacing w:val="-6"/>
          <w:kern w:val="2"/>
          <w:sz w:val="32"/>
          <w:szCs w:val="32"/>
          <w:highlight w:val="none"/>
          <w:u w:val="none"/>
          <w:lang w:val="en-US" w:eastAsia="zh-CN" w:bidi="ar-SA"/>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32" w:firstLineChars="200"/>
        <w:jc w:val="both"/>
        <w:textAlignment w:val="auto"/>
        <w:rPr>
          <w:rFonts w:hint="eastAsia" w:ascii="仿宋_GB2312" w:hAnsi="仿宋_GB2312" w:eastAsia="仿宋_GB2312" w:cs="仿宋_GB2312"/>
          <w:b w:val="0"/>
          <w:bCs/>
          <w:i w:val="0"/>
          <w:caps w:val="0"/>
          <w:color w:val="auto"/>
          <w:spacing w:val="0"/>
          <w:kern w:val="0"/>
          <w:sz w:val="32"/>
          <w:szCs w:val="32"/>
          <w:highlight w:val="none"/>
          <w:lang w:val="en-US" w:eastAsia="zh-CN" w:bidi="ar"/>
        </w:rPr>
      </w:pPr>
      <w:r>
        <w:rPr>
          <w:rFonts w:hint="eastAsia" w:ascii="黑体" w:hAnsi="黑体" w:eastAsia="黑体" w:cs="黑体"/>
          <w:b w:val="0"/>
          <w:bCs/>
          <w:i w:val="0"/>
          <w:caps w:val="0"/>
          <w:color w:val="auto"/>
          <w:spacing w:val="0"/>
          <w:kern w:val="0"/>
          <w:sz w:val="32"/>
          <w:szCs w:val="32"/>
          <w:highlight w:val="none"/>
          <w:lang w:val="en-US" w:eastAsia="zh-CN" w:bidi="ar"/>
        </w:rPr>
        <w:t>三、数字经济核心产业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8" w:firstLineChars="200"/>
        <w:jc w:val="both"/>
        <w:textAlignment w:val="auto"/>
        <w:rPr>
          <w:rFonts w:hint="eastAsia" w:ascii="仿宋_GB2312" w:hAnsi="仿宋_GB2312" w:eastAsia="仿宋_GB2312" w:cs="仿宋_GB2312"/>
          <w:color w:val="auto"/>
          <w:spacing w:val="-6"/>
          <w:kern w:val="2"/>
          <w:sz w:val="32"/>
          <w:szCs w:val="32"/>
          <w:highlight w:val="none"/>
          <w:u w:val="none"/>
          <w:lang w:val="en"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2023年末，全区共有数字经济核心产业企业法人单位2828个，从业人员</w:t>
      </w:r>
      <w:r>
        <w:rPr>
          <w:rFonts w:hint="eastAsia" w:ascii="仿宋_GB2312" w:hAnsi="仿宋_GB2312" w:eastAsia="仿宋_GB2312" w:cs="仿宋_GB2312"/>
          <w:color w:val="auto"/>
          <w:sz w:val="32"/>
          <w:szCs w:val="32"/>
          <w:highlight w:val="none"/>
          <w:u w:val="none"/>
          <w:lang w:val="en-US" w:eastAsia="zh-CN"/>
        </w:rPr>
        <w:t>38013</w:t>
      </w:r>
      <w:r>
        <w:rPr>
          <w:rFonts w:hint="eastAsia" w:ascii="仿宋_GB2312" w:hAnsi="仿宋_GB2312" w:eastAsia="仿宋_GB2312" w:cs="仿宋_GB2312"/>
          <w:color w:val="auto"/>
          <w:spacing w:val="-6"/>
          <w:kern w:val="2"/>
          <w:sz w:val="32"/>
          <w:szCs w:val="32"/>
          <w:highlight w:val="none"/>
          <w:u w:val="none"/>
          <w:lang w:val="en-US" w:eastAsia="zh-CN" w:bidi="ar-SA"/>
        </w:rPr>
        <w:t>人。全年实现营业收入</w:t>
      </w:r>
      <w:r>
        <w:rPr>
          <w:rFonts w:hint="eastAsia" w:ascii="仿宋_GB2312" w:hAnsi="仿宋_GB2312" w:eastAsia="仿宋_GB2312" w:cs="仿宋_GB2312"/>
          <w:color w:val="auto"/>
          <w:sz w:val="32"/>
          <w:szCs w:val="32"/>
          <w:highlight w:val="none"/>
          <w:u w:val="none"/>
          <w:lang w:val="en-US" w:eastAsia="zh-CN"/>
        </w:rPr>
        <w:t>474.24</w:t>
      </w:r>
      <w:r>
        <w:rPr>
          <w:rFonts w:hint="eastAsia" w:ascii="仿宋_GB2312" w:hAnsi="仿宋_GB2312" w:eastAsia="仿宋_GB2312" w:cs="仿宋_GB2312"/>
          <w:color w:val="auto"/>
          <w:spacing w:val="-6"/>
          <w:kern w:val="2"/>
          <w:sz w:val="32"/>
          <w:szCs w:val="32"/>
          <w:highlight w:val="none"/>
          <w:u w:val="none"/>
          <w:lang w:val="en-US" w:eastAsia="zh-CN" w:bidi="ar-SA"/>
        </w:rPr>
        <w:t>亿元。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8"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在数字经济核心产业企业法人单位中，数字产品制造业</w:t>
      </w:r>
      <w:r>
        <w:rPr>
          <w:rFonts w:hint="eastAsia" w:ascii="仿宋_GB2312" w:hAnsi="仿宋_GB2312" w:eastAsia="仿宋_GB2312" w:cs="仿宋_GB2312"/>
          <w:color w:val="auto"/>
          <w:szCs w:val="32"/>
          <w:highlight w:val="none"/>
          <w:lang w:val="en-US" w:eastAsia="zh-CN"/>
        </w:rPr>
        <w:t>245</w:t>
      </w:r>
      <w:r>
        <w:rPr>
          <w:rFonts w:hint="eastAsia" w:ascii="仿宋_GB2312" w:hAnsi="仿宋_GB2312" w:eastAsia="仿宋_GB2312" w:cs="仿宋_GB2312"/>
          <w:color w:val="auto"/>
          <w:spacing w:val="-6"/>
          <w:kern w:val="2"/>
          <w:sz w:val="32"/>
          <w:szCs w:val="32"/>
          <w:highlight w:val="none"/>
          <w:u w:val="none"/>
          <w:lang w:val="en-US" w:eastAsia="zh-CN" w:bidi="ar-SA"/>
        </w:rPr>
        <w:t>个，占</w:t>
      </w:r>
      <w:r>
        <w:rPr>
          <w:rFonts w:hint="eastAsia" w:ascii="仿宋_GB2312" w:hAnsi="仿宋_GB2312" w:eastAsia="仿宋_GB2312" w:cs="仿宋_GB2312"/>
          <w:color w:val="auto"/>
          <w:szCs w:val="32"/>
          <w:highlight w:val="none"/>
          <w:lang w:val="en-US" w:eastAsia="zh-CN"/>
        </w:rPr>
        <w:t>8.7%</w:t>
      </w:r>
      <w:r>
        <w:rPr>
          <w:rFonts w:hint="eastAsia" w:ascii="仿宋_GB2312" w:hAnsi="仿宋_GB2312" w:eastAsia="仿宋_GB2312" w:cs="仿宋_GB2312"/>
          <w:color w:val="auto"/>
          <w:spacing w:val="-6"/>
          <w:kern w:val="2"/>
          <w:sz w:val="32"/>
          <w:szCs w:val="32"/>
          <w:highlight w:val="none"/>
          <w:u w:val="none"/>
          <w:lang w:val="en-US" w:eastAsia="zh-CN" w:bidi="ar-SA"/>
        </w:rPr>
        <w:t>；数字产品服务业142个，占</w:t>
      </w:r>
      <w:r>
        <w:rPr>
          <w:rFonts w:hint="eastAsia" w:ascii="仿宋_GB2312" w:hAnsi="仿宋_GB2312" w:eastAsia="仿宋_GB2312" w:cs="仿宋_GB2312"/>
          <w:color w:val="auto"/>
          <w:sz w:val="32"/>
          <w:szCs w:val="32"/>
          <w:highlight w:val="none"/>
          <w:u w:val="none"/>
          <w:lang w:val="en-US" w:eastAsia="zh-CN"/>
        </w:rPr>
        <w:t>5.0%</w:t>
      </w:r>
      <w:r>
        <w:rPr>
          <w:rFonts w:hint="eastAsia" w:ascii="仿宋_GB2312" w:hAnsi="仿宋_GB2312" w:eastAsia="仿宋_GB2312" w:cs="仿宋_GB2312"/>
          <w:color w:val="auto"/>
          <w:spacing w:val="-6"/>
          <w:kern w:val="2"/>
          <w:sz w:val="32"/>
          <w:szCs w:val="32"/>
          <w:highlight w:val="none"/>
          <w:u w:val="none"/>
          <w:lang w:val="en-US" w:eastAsia="zh-CN" w:bidi="ar-SA"/>
        </w:rPr>
        <w:t>；数字技术应用业1212个，占</w:t>
      </w:r>
      <w:r>
        <w:rPr>
          <w:rFonts w:hint="eastAsia" w:ascii="仿宋_GB2312" w:hAnsi="仿宋_GB2312" w:eastAsia="仿宋_GB2312" w:cs="仿宋_GB2312"/>
          <w:color w:val="auto"/>
          <w:sz w:val="32"/>
          <w:szCs w:val="32"/>
          <w:highlight w:val="none"/>
          <w:u w:val="none"/>
          <w:lang w:val="en-US" w:eastAsia="zh-CN"/>
        </w:rPr>
        <w:t>42.9%</w:t>
      </w:r>
      <w:r>
        <w:rPr>
          <w:rFonts w:hint="eastAsia" w:ascii="仿宋_GB2312" w:hAnsi="仿宋_GB2312" w:eastAsia="仿宋_GB2312" w:cs="仿宋_GB2312"/>
          <w:color w:val="auto"/>
          <w:spacing w:val="-6"/>
          <w:kern w:val="2"/>
          <w:sz w:val="32"/>
          <w:szCs w:val="32"/>
          <w:highlight w:val="none"/>
          <w:u w:val="none"/>
          <w:lang w:val="en-US" w:eastAsia="zh-CN" w:bidi="ar-SA"/>
        </w:rPr>
        <w:t>；数字要素驱动业1229个，占</w:t>
      </w:r>
      <w:r>
        <w:rPr>
          <w:rFonts w:hint="eastAsia" w:ascii="仿宋_GB2312" w:hAnsi="仿宋_GB2312" w:eastAsia="仿宋_GB2312" w:cs="仿宋_GB2312"/>
          <w:color w:val="auto"/>
          <w:sz w:val="32"/>
          <w:szCs w:val="32"/>
          <w:highlight w:val="none"/>
          <w:u w:val="none"/>
          <w:lang w:val="en-US" w:eastAsia="zh-CN"/>
        </w:rPr>
        <w:t>43.5%</w:t>
      </w:r>
      <w:r>
        <w:rPr>
          <w:rFonts w:hint="eastAsia" w:ascii="仿宋_GB2312" w:hAnsi="仿宋_GB2312" w:eastAsia="仿宋_GB2312" w:cs="仿宋_GB2312"/>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8"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在数字经济核心产业企业法人单位从业人员中，数字产品制造业</w:t>
      </w:r>
      <w:r>
        <w:rPr>
          <w:rFonts w:hint="eastAsia" w:ascii="仿宋_GB2312" w:hAnsi="仿宋_GB2312" w:eastAsia="仿宋_GB2312" w:cs="仿宋_GB2312"/>
          <w:color w:val="auto"/>
          <w:szCs w:val="32"/>
          <w:highlight w:val="none"/>
          <w:lang w:val="en-US" w:eastAsia="zh-CN"/>
        </w:rPr>
        <w:t>27313</w:t>
      </w:r>
      <w:r>
        <w:rPr>
          <w:rFonts w:hint="eastAsia" w:ascii="仿宋_GB2312" w:hAnsi="仿宋_GB2312" w:eastAsia="仿宋_GB2312" w:cs="仿宋_GB2312"/>
          <w:color w:val="auto"/>
          <w:spacing w:val="-6"/>
          <w:kern w:val="2"/>
          <w:sz w:val="32"/>
          <w:szCs w:val="32"/>
          <w:highlight w:val="none"/>
          <w:u w:val="none"/>
          <w:lang w:val="en-US" w:eastAsia="zh-CN" w:bidi="ar-SA"/>
        </w:rPr>
        <w:t>人，占</w:t>
      </w:r>
      <w:r>
        <w:rPr>
          <w:rFonts w:hint="eastAsia" w:ascii="仿宋_GB2312" w:hAnsi="仿宋_GB2312" w:eastAsia="仿宋_GB2312" w:cs="仿宋_GB2312"/>
          <w:color w:val="auto"/>
          <w:szCs w:val="32"/>
          <w:highlight w:val="none"/>
          <w:lang w:val="en-US" w:eastAsia="zh-CN"/>
        </w:rPr>
        <w:t>72.0%</w:t>
      </w:r>
      <w:r>
        <w:rPr>
          <w:rFonts w:hint="eastAsia" w:ascii="仿宋_GB2312" w:hAnsi="仿宋_GB2312" w:eastAsia="仿宋_GB2312" w:cs="仿宋_GB2312"/>
          <w:color w:val="auto"/>
          <w:spacing w:val="-6"/>
          <w:kern w:val="2"/>
          <w:sz w:val="32"/>
          <w:szCs w:val="32"/>
          <w:highlight w:val="none"/>
          <w:u w:val="none"/>
          <w:lang w:val="en-US" w:eastAsia="zh-CN" w:bidi="ar-SA"/>
        </w:rPr>
        <w:t>；数字产品服务业762人，占</w:t>
      </w:r>
      <w:r>
        <w:rPr>
          <w:rFonts w:hint="eastAsia" w:ascii="仿宋_GB2312" w:hAnsi="仿宋_GB2312" w:eastAsia="仿宋_GB2312" w:cs="仿宋_GB2312"/>
          <w:color w:val="auto"/>
          <w:sz w:val="32"/>
          <w:szCs w:val="32"/>
          <w:highlight w:val="none"/>
          <w:u w:val="none"/>
          <w:lang w:val="en-US" w:eastAsia="zh-CN"/>
        </w:rPr>
        <w:t>2.0%</w:t>
      </w:r>
      <w:r>
        <w:rPr>
          <w:rFonts w:hint="eastAsia" w:ascii="仿宋_GB2312" w:hAnsi="仿宋_GB2312" w:eastAsia="仿宋_GB2312" w:cs="仿宋_GB2312"/>
          <w:color w:val="auto"/>
          <w:spacing w:val="-6"/>
          <w:kern w:val="2"/>
          <w:sz w:val="32"/>
          <w:szCs w:val="32"/>
          <w:highlight w:val="none"/>
          <w:u w:val="none"/>
          <w:lang w:val="en-US" w:eastAsia="zh-CN" w:bidi="ar-SA"/>
        </w:rPr>
        <w:t>；数字技术应用业</w:t>
      </w:r>
      <w:r>
        <w:rPr>
          <w:rFonts w:hint="eastAsia" w:ascii="仿宋_GB2312" w:hAnsi="仿宋_GB2312" w:eastAsia="仿宋_GB2312" w:cs="仿宋_GB2312"/>
          <w:color w:val="auto"/>
          <w:sz w:val="32"/>
          <w:szCs w:val="32"/>
          <w:highlight w:val="none"/>
          <w:u w:val="none"/>
          <w:lang w:val="en-US" w:eastAsia="zh-CN"/>
        </w:rPr>
        <w:t>5706</w:t>
      </w:r>
      <w:r>
        <w:rPr>
          <w:rFonts w:hint="eastAsia" w:ascii="仿宋_GB2312" w:hAnsi="仿宋_GB2312" w:eastAsia="仿宋_GB2312" w:cs="仿宋_GB2312"/>
          <w:color w:val="auto"/>
          <w:spacing w:val="-6"/>
          <w:kern w:val="2"/>
          <w:sz w:val="32"/>
          <w:szCs w:val="32"/>
          <w:highlight w:val="none"/>
          <w:u w:val="none"/>
          <w:lang w:val="en-US" w:eastAsia="zh-CN" w:bidi="ar-SA"/>
        </w:rPr>
        <w:t>人，占</w:t>
      </w:r>
      <w:r>
        <w:rPr>
          <w:rFonts w:hint="eastAsia" w:ascii="仿宋_GB2312" w:hAnsi="仿宋_GB2312" w:eastAsia="仿宋_GB2312" w:cs="仿宋_GB2312"/>
          <w:color w:val="auto"/>
          <w:sz w:val="32"/>
          <w:szCs w:val="32"/>
          <w:highlight w:val="none"/>
          <w:u w:val="none"/>
          <w:lang w:val="en-US" w:eastAsia="zh-CN"/>
        </w:rPr>
        <w:t>15.0%</w:t>
      </w:r>
      <w:r>
        <w:rPr>
          <w:rFonts w:hint="eastAsia" w:ascii="仿宋_GB2312" w:hAnsi="仿宋_GB2312" w:eastAsia="仿宋_GB2312" w:cs="仿宋_GB2312"/>
          <w:color w:val="auto"/>
          <w:spacing w:val="-6"/>
          <w:kern w:val="2"/>
          <w:sz w:val="32"/>
          <w:szCs w:val="32"/>
          <w:highlight w:val="none"/>
          <w:u w:val="none"/>
          <w:lang w:val="en-US" w:eastAsia="zh-CN" w:bidi="ar-SA"/>
        </w:rPr>
        <w:t>；数字要素驱动业4232人，占</w:t>
      </w:r>
      <w:r>
        <w:rPr>
          <w:rFonts w:hint="eastAsia" w:ascii="仿宋_GB2312" w:hAnsi="仿宋_GB2312" w:eastAsia="仿宋_GB2312" w:cs="仿宋_GB2312"/>
          <w:color w:val="auto"/>
          <w:szCs w:val="32"/>
          <w:highlight w:val="none"/>
          <w:lang w:val="en-US" w:eastAsia="zh-CN"/>
        </w:rPr>
        <w:t>11.1%</w:t>
      </w:r>
      <w:r>
        <w:rPr>
          <w:rFonts w:hint="eastAsia" w:ascii="仿宋_GB2312" w:hAnsi="仿宋_GB2312" w:eastAsia="仿宋_GB2312" w:cs="仿宋_GB2312"/>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8"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在数字经济核心产业企业法人单位营业收入中，数字产品制造业</w:t>
      </w:r>
      <w:r>
        <w:rPr>
          <w:rFonts w:hint="eastAsia" w:ascii="仿宋_GB2312" w:hAnsi="仿宋_GB2312" w:eastAsia="仿宋_GB2312" w:cs="仿宋_GB2312"/>
          <w:color w:val="auto"/>
          <w:szCs w:val="32"/>
          <w:highlight w:val="none"/>
          <w:lang w:val="en-US" w:eastAsia="zh-CN"/>
        </w:rPr>
        <w:t>403.36</w:t>
      </w:r>
      <w:r>
        <w:rPr>
          <w:rFonts w:hint="eastAsia" w:ascii="仿宋_GB2312" w:hAnsi="仿宋_GB2312" w:eastAsia="仿宋_GB2312" w:cs="仿宋_GB2312"/>
          <w:color w:val="auto"/>
          <w:spacing w:val="-6"/>
          <w:kern w:val="2"/>
          <w:sz w:val="32"/>
          <w:szCs w:val="32"/>
          <w:highlight w:val="none"/>
          <w:u w:val="none"/>
          <w:lang w:val="en-US" w:eastAsia="zh-CN" w:bidi="ar-SA"/>
        </w:rPr>
        <w:t>亿元，占</w:t>
      </w:r>
      <w:r>
        <w:rPr>
          <w:rFonts w:hint="eastAsia" w:ascii="仿宋_GB2312" w:hAnsi="仿宋_GB2312" w:eastAsia="仿宋_GB2312" w:cs="仿宋_GB2312"/>
          <w:color w:val="auto"/>
          <w:szCs w:val="32"/>
          <w:highlight w:val="none"/>
          <w:lang w:val="en-US" w:eastAsia="zh-CN"/>
        </w:rPr>
        <w:t>85.1</w:t>
      </w:r>
      <w:r>
        <w:rPr>
          <w:rFonts w:hint="eastAsia" w:ascii="仿宋_GB2312" w:hAnsi="仿宋_GB2312" w:eastAsia="仿宋_GB2312" w:cs="仿宋_GB2312"/>
          <w:color w:val="auto"/>
          <w:spacing w:val="-6"/>
          <w:kern w:val="2"/>
          <w:sz w:val="32"/>
          <w:szCs w:val="32"/>
          <w:highlight w:val="none"/>
          <w:u w:val="none"/>
          <w:lang w:val="en-US" w:eastAsia="zh-CN" w:bidi="ar-SA"/>
        </w:rPr>
        <w:t>%；数字产品服务业</w:t>
      </w:r>
      <w:r>
        <w:rPr>
          <w:rFonts w:hint="eastAsia" w:ascii="仿宋_GB2312" w:hAnsi="仿宋_GB2312" w:eastAsia="仿宋_GB2312" w:cs="仿宋_GB2312"/>
          <w:color w:val="auto"/>
          <w:sz w:val="32"/>
          <w:szCs w:val="32"/>
          <w:highlight w:val="none"/>
          <w:u w:val="none"/>
          <w:lang w:val="en-US" w:eastAsia="zh-CN"/>
        </w:rPr>
        <w:t>4.71</w:t>
      </w:r>
      <w:r>
        <w:rPr>
          <w:rFonts w:hint="eastAsia" w:ascii="仿宋_GB2312" w:hAnsi="仿宋_GB2312" w:eastAsia="仿宋_GB2312" w:cs="仿宋_GB2312"/>
          <w:color w:val="auto"/>
          <w:spacing w:val="-6"/>
          <w:kern w:val="2"/>
          <w:sz w:val="32"/>
          <w:szCs w:val="32"/>
          <w:highlight w:val="none"/>
          <w:u w:val="none"/>
          <w:lang w:val="en-US" w:eastAsia="zh-CN" w:bidi="ar-SA"/>
        </w:rPr>
        <w:t>亿元，占</w:t>
      </w:r>
      <w:r>
        <w:rPr>
          <w:rFonts w:hint="eastAsia"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pacing w:val="-6"/>
          <w:kern w:val="2"/>
          <w:sz w:val="32"/>
          <w:szCs w:val="32"/>
          <w:highlight w:val="none"/>
          <w:u w:val="none"/>
          <w:lang w:val="en-US" w:eastAsia="zh-CN" w:bidi="ar-SA"/>
        </w:rPr>
        <w:t>；数字技术应用业</w:t>
      </w:r>
      <w:r>
        <w:rPr>
          <w:rFonts w:hint="eastAsia" w:ascii="仿宋_GB2312" w:hAnsi="仿宋_GB2312" w:eastAsia="仿宋_GB2312" w:cs="仿宋_GB2312"/>
          <w:color w:val="auto"/>
          <w:sz w:val="32"/>
          <w:szCs w:val="32"/>
          <w:highlight w:val="none"/>
          <w:u w:val="none"/>
          <w:lang w:val="en-US" w:eastAsia="zh-CN"/>
        </w:rPr>
        <w:t>33.38</w:t>
      </w:r>
      <w:r>
        <w:rPr>
          <w:rFonts w:hint="eastAsia" w:ascii="仿宋_GB2312" w:hAnsi="仿宋_GB2312" w:eastAsia="仿宋_GB2312" w:cs="仿宋_GB2312"/>
          <w:color w:val="auto"/>
          <w:spacing w:val="-6"/>
          <w:kern w:val="2"/>
          <w:sz w:val="32"/>
          <w:szCs w:val="32"/>
          <w:highlight w:val="none"/>
          <w:u w:val="none"/>
          <w:lang w:val="en-US" w:eastAsia="zh-CN" w:bidi="ar-SA"/>
        </w:rPr>
        <w:t>亿元，占</w:t>
      </w:r>
      <w:r>
        <w:rPr>
          <w:rFonts w:hint="eastAsia" w:ascii="仿宋_GB2312" w:hAnsi="仿宋_GB2312" w:eastAsia="仿宋_GB2312" w:cs="仿宋_GB2312"/>
          <w:color w:val="auto"/>
          <w:sz w:val="32"/>
          <w:szCs w:val="32"/>
          <w:highlight w:val="none"/>
          <w:u w:val="none"/>
          <w:lang w:val="en-US" w:eastAsia="zh-CN"/>
        </w:rPr>
        <w:t>7.0%</w:t>
      </w:r>
      <w:r>
        <w:rPr>
          <w:rFonts w:hint="eastAsia" w:ascii="仿宋_GB2312" w:hAnsi="仿宋_GB2312" w:eastAsia="仿宋_GB2312" w:cs="仿宋_GB2312"/>
          <w:color w:val="auto"/>
          <w:spacing w:val="-6"/>
          <w:kern w:val="2"/>
          <w:sz w:val="32"/>
          <w:szCs w:val="32"/>
          <w:highlight w:val="none"/>
          <w:u w:val="none"/>
          <w:lang w:val="en-US" w:eastAsia="zh-CN" w:bidi="ar-SA"/>
        </w:rPr>
        <w:t>；数字要素驱动业</w:t>
      </w:r>
      <w:r>
        <w:rPr>
          <w:rFonts w:hint="eastAsia" w:ascii="仿宋_GB2312" w:hAnsi="仿宋_GB2312" w:eastAsia="仿宋_GB2312" w:cs="仿宋_GB2312"/>
          <w:color w:val="auto"/>
          <w:sz w:val="32"/>
          <w:szCs w:val="32"/>
          <w:highlight w:val="none"/>
          <w:u w:val="none"/>
          <w:lang w:val="en-US" w:eastAsia="zh-CN"/>
        </w:rPr>
        <w:t>32.79</w:t>
      </w:r>
      <w:r>
        <w:rPr>
          <w:rFonts w:hint="eastAsia" w:ascii="仿宋_GB2312" w:hAnsi="仿宋_GB2312" w:eastAsia="仿宋_GB2312" w:cs="仿宋_GB2312"/>
          <w:color w:val="auto"/>
          <w:spacing w:val="-6"/>
          <w:kern w:val="2"/>
          <w:sz w:val="32"/>
          <w:szCs w:val="32"/>
          <w:highlight w:val="none"/>
          <w:u w:val="none"/>
          <w:lang w:val="en-US" w:eastAsia="zh-CN" w:bidi="ar-SA"/>
        </w:rPr>
        <w:t>亿元，占6.9</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黑体" w:hAnsi="黑体" w:eastAsia="黑体" w:cs="黑体"/>
          <w:i w:val="0"/>
          <w:caps w:val="0"/>
          <w:color w:val="auto"/>
          <w:spacing w:val="0"/>
          <w:sz w:val="32"/>
          <w:szCs w:val="32"/>
          <w:highlight w:val="none"/>
        </w:rPr>
      </w:pPr>
      <w:r>
        <w:rPr>
          <w:rFonts w:hint="eastAsia" w:ascii="黑体" w:hAnsi="黑体" w:eastAsia="黑体" w:cs="黑体"/>
          <w:b w:val="0"/>
          <w:bCs/>
          <w:i w:val="0"/>
          <w:caps w:val="0"/>
          <w:color w:val="auto"/>
          <w:spacing w:val="0"/>
          <w:kern w:val="0"/>
          <w:sz w:val="32"/>
          <w:szCs w:val="32"/>
          <w:highlight w:val="none"/>
          <w:lang w:val="en-US" w:eastAsia="zh-CN" w:bidi="ar"/>
        </w:rPr>
        <w:t>四、工业企业研究与试验发展活动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8"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2023年，开展R&amp;D活动的规模以上工业企业法人单位</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196</w:t>
      </w:r>
      <w:r>
        <w:rPr>
          <w:rFonts w:hint="eastAsia" w:ascii="仿宋_GB2312" w:hAnsi="仿宋_GB2312" w:eastAsia="仿宋_GB2312" w:cs="仿宋_GB2312"/>
          <w:color w:val="auto"/>
          <w:spacing w:val="-6"/>
          <w:kern w:val="2"/>
          <w:sz w:val="32"/>
          <w:szCs w:val="32"/>
          <w:highlight w:val="none"/>
          <w:u w:val="none"/>
          <w:lang w:val="en-US" w:eastAsia="zh-CN" w:bidi="ar-SA"/>
        </w:rPr>
        <w:t>个，</w:t>
      </w:r>
      <w:r>
        <w:rPr>
          <w:rFonts w:hint="eastAsia" w:ascii="仿宋_GB2312" w:hAnsi="仿宋_GB2312" w:eastAsia="仿宋_GB2312" w:cs="仿宋_GB2312"/>
          <w:i w:val="0"/>
          <w:caps w:val="0"/>
          <w:color w:val="auto"/>
          <w:spacing w:val="0"/>
          <w:kern w:val="0"/>
          <w:sz w:val="32"/>
          <w:szCs w:val="32"/>
          <w:highlight w:val="none"/>
          <w:shd w:val="clear" w:color="auto" w:fill="FFFFFF"/>
          <w:lang w:val="en" w:eastAsia="zh-CN" w:bidi="ar"/>
        </w:rPr>
        <w:t>比2018年</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增长64.7%，</w:t>
      </w:r>
      <w:r>
        <w:rPr>
          <w:rFonts w:hint="eastAsia" w:ascii="仿宋_GB2312" w:hAnsi="仿宋_GB2312" w:eastAsia="仿宋_GB2312" w:cs="仿宋_GB2312"/>
          <w:i w:val="0"/>
          <w:caps w:val="0"/>
          <w:color w:val="333333"/>
          <w:spacing w:val="0"/>
          <w:kern w:val="0"/>
          <w:sz w:val="32"/>
          <w:szCs w:val="32"/>
          <w:highlight w:val="none"/>
          <w:shd w:val="clear" w:color="auto" w:fill="FFFFFF"/>
          <w:lang w:val="en-US" w:eastAsia="zh-CN" w:bidi="ar"/>
        </w:rPr>
        <w:t>占</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全部规模以上工业企业法人单位的38.4%</w:t>
      </w:r>
      <w:r>
        <w:rPr>
          <w:rFonts w:hint="eastAsia" w:ascii="仿宋_GB2312" w:hAnsi="仿宋_GB2312" w:eastAsia="仿宋_GB2312" w:cs="仿宋_GB2312"/>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8"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2023年，规模以上工业企业法人单位R&amp;D人员折合全时当量</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11493</w:t>
      </w:r>
      <w:r>
        <w:rPr>
          <w:rFonts w:hint="eastAsia" w:ascii="仿宋_GB2312" w:hAnsi="仿宋_GB2312" w:eastAsia="仿宋_GB2312" w:cs="仿宋_GB2312"/>
          <w:color w:val="auto"/>
          <w:spacing w:val="-6"/>
          <w:kern w:val="2"/>
          <w:sz w:val="32"/>
          <w:szCs w:val="32"/>
          <w:highlight w:val="none"/>
          <w:u w:val="none"/>
          <w:lang w:val="en-US" w:eastAsia="zh-CN" w:bidi="ar-SA"/>
        </w:rPr>
        <w:t>人年，</w:t>
      </w:r>
      <w:r>
        <w:rPr>
          <w:rFonts w:hint="eastAsia" w:ascii="仿宋_GB2312" w:hAnsi="仿宋_GB2312" w:eastAsia="仿宋_GB2312" w:cs="仿宋_GB2312"/>
          <w:color w:val="auto"/>
          <w:spacing w:val="-6"/>
          <w:kern w:val="2"/>
          <w:sz w:val="32"/>
          <w:szCs w:val="32"/>
          <w:highlight w:val="none"/>
          <w:u w:val="none"/>
          <w:lang w:val="en" w:eastAsia="zh-CN" w:bidi="ar-SA"/>
        </w:rPr>
        <w:t>比2018年</w:t>
      </w:r>
      <w:r>
        <w:rPr>
          <w:rFonts w:hint="eastAsia" w:ascii="仿宋_GB2312" w:hAnsi="仿宋_GB2312" w:eastAsia="仿宋_GB2312" w:cs="仿宋_GB2312"/>
          <w:color w:val="auto"/>
          <w:spacing w:val="-6"/>
          <w:kern w:val="2"/>
          <w:sz w:val="32"/>
          <w:szCs w:val="32"/>
          <w:highlight w:val="none"/>
          <w:u w:val="none"/>
          <w:lang w:val="en-US" w:eastAsia="zh-CN" w:bidi="ar-SA"/>
        </w:rPr>
        <w:t>增长</w:t>
      </w:r>
      <w:r>
        <w:rPr>
          <w:rFonts w:hint="eastAsia" w:ascii="宋体" w:hAnsi="宋体" w:cs="宋体"/>
          <w:i w:val="0"/>
          <w:caps w:val="0"/>
          <w:color w:val="auto"/>
          <w:spacing w:val="0"/>
          <w:kern w:val="0"/>
          <w:sz w:val="32"/>
          <w:szCs w:val="32"/>
          <w:highlight w:val="none"/>
          <w:shd w:val="clear" w:color="auto" w:fill="FFFFFF"/>
          <w:lang w:val="en-US" w:eastAsia="zh-CN" w:bidi="ar"/>
        </w:rPr>
        <w:t>65.8</w:t>
      </w:r>
      <w:r>
        <w:rPr>
          <w:rFonts w:hint="eastAsia" w:ascii="宋体" w:hAnsi="宋体" w:eastAsia="宋体" w:cs="宋体"/>
          <w:i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8"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2023年，规模以上工业企业法人单位R&amp;D经费支出</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49.97</w:t>
      </w:r>
      <w:r>
        <w:rPr>
          <w:rFonts w:hint="eastAsia" w:ascii="仿宋_GB2312" w:hAnsi="仿宋_GB2312" w:eastAsia="仿宋_GB2312" w:cs="仿宋_GB2312"/>
          <w:color w:val="auto"/>
          <w:spacing w:val="-6"/>
          <w:kern w:val="2"/>
          <w:sz w:val="32"/>
          <w:szCs w:val="32"/>
          <w:highlight w:val="none"/>
          <w:u w:val="none"/>
          <w:lang w:val="en-US" w:eastAsia="zh-CN" w:bidi="ar-SA"/>
        </w:rPr>
        <w:t>亿元；</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比</w:t>
      </w:r>
      <w:r>
        <w:rPr>
          <w:rFonts w:hint="eastAsia" w:ascii="仿宋_GB2312" w:hAnsi="仿宋_GB2312" w:eastAsia="仿宋_GB2312" w:cs="仿宋_GB2312"/>
          <w:i w:val="0"/>
          <w:caps w:val="0"/>
          <w:color w:val="auto"/>
          <w:spacing w:val="0"/>
          <w:kern w:val="0"/>
          <w:sz w:val="32"/>
          <w:szCs w:val="32"/>
          <w:highlight w:val="none"/>
          <w:shd w:val="clear" w:color="auto" w:fill="FFFFFF"/>
          <w:lang w:val="en" w:eastAsia="zh-CN" w:bidi="ar"/>
        </w:rPr>
        <w:t>2018</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年增长119.3%</w:t>
      </w:r>
      <w:r>
        <w:rPr>
          <w:rFonts w:hint="eastAsia" w:ascii="仿宋_GB2312" w:hAnsi="仿宋_GB2312" w:eastAsia="仿宋_GB2312" w:cs="仿宋_GB2312"/>
          <w:color w:val="auto"/>
          <w:spacing w:val="-6"/>
          <w:kern w:val="2"/>
          <w:sz w:val="32"/>
          <w:szCs w:val="32"/>
          <w:highlight w:val="none"/>
          <w:u w:val="none"/>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firstLine="608"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pacing w:val="-6"/>
          <w:kern w:val="2"/>
          <w:sz w:val="32"/>
          <w:szCs w:val="32"/>
          <w:highlight w:val="none"/>
          <w:u w:val="none"/>
          <w:lang w:val="en-US" w:eastAsia="zh-CN" w:bidi="ar-SA"/>
        </w:rPr>
        <w:t>20</w:t>
      </w:r>
      <w:r>
        <w:rPr>
          <w:rFonts w:hint="eastAsia" w:ascii="仿宋_GB2312" w:hAnsi="仿宋_GB2312" w:eastAsia="仿宋_GB2312" w:cs="仿宋_GB2312"/>
          <w:color w:val="auto"/>
          <w:spacing w:val="-6"/>
          <w:kern w:val="2"/>
          <w:sz w:val="32"/>
          <w:szCs w:val="32"/>
          <w:highlight w:val="none"/>
          <w:u w:val="none"/>
          <w:lang w:val="en" w:eastAsia="zh-CN" w:bidi="ar-SA"/>
        </w:rPr>
        <w:t>23</w:t>
      </w:r>
      <w:r>
        <w:rPr>
          <w:rFonts w:hint="eastAsia" w:ascii="仿宋_GB2312" w:hAnsi="仿宋_GB2312" w:eastAsia="仿宋_GB2312" w:cs="仿宋_GB2312"/>
          <w:color w:val="auto"/>
          <w:spacing w:val="-6"/>
          <w:kern w:val="2"/>
          <w:sz w:val="32"/>
          <w:szCs w:val="32"/>
          <w:highlight w:val="none"/>
          <w:u w:val="none"/>
          <w:lang w:val="en-US" w:eastAsia="zh-CN" w:bidi="ar-SA"/>
        </w:rPr>
        <w:t>年，规模以上工业企业法人单位全年专利申请量</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3063</w:t>
      </w:r>
      <w:r>
        <w:rPr>
          <w:rFonts w:hint="eastAsia" w:ascii="仿宋_GB2312" w:hAnsi="仿宋_GB2312" w:eastAsia="仿宋_GB2312" w:cs="仿宋_GB2312"/>
          <w:color w:val="auto"/>
          <w:spacing w:val="-6"/>
          <w:kern w:val="2"/>
          <w:sz w:val="32"/>
          <w:szCs w:val="32"/>
          <w:highlight w:val="none"/>
          <w:u w:val="none"/>
          <w:lang w:val="en-US" w:eastAsia="zh-CN" w:bidi="ar-SA"/>
        </w:rPr>
        <w:t>件，其中发明专利申请</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1050</w:t>
      </w:r>
      <w:r>
        <w:rPr>
          <w:rFonts w:hint="eastAsia" w:ascii="仿宋_GB2312" w:hAnsi="仿宋_GB2312" w:eastAsia="仿宋_GB2312" w:cs="仿宋_GB2312"/>
          <w:color w:val="auto"/>
          <w:spacing w:val="-6"/>
          <w:kern w:val="2"/>
          <w:sz w:val="32"/>
          <w:szCs w:val="32"/>
          <w:highlight w:val="none"/>
          <w:u w:val="none"/>
          <w:lang w:val="en-US" w:eastAsia="zh-CN" w:bidi="ar-SA"/>
        </w:rPr>
        <w:t>件，分别比2018年增长106.1%和141.9%；发明专利申请所占比重为</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34.3%</w:t>
      </w:r>
      <w:r>
        <w:rPr>
          <w:rFonts w:hint="eastAsia" w:ascii="仿宋_GB2312" w:hAnsi="仿宋_GB2312" w:eastAsia="仿宋_GB2312" w:cs="仿宋_GB2312"/>
          <w:i w:val="0"/>
          <w:caps w:val="0"/>
          <w:color w:val="FF0000"/>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caps w:val="0"/>
          <w:color w:val="auto"/>
          <w:spacing w:val="0"/>
          <w:kern w:val="0"/>
          <w:sz w:val="32"/>
          <w:szCs w:val="32"/>
          <w:highlight w:val="none"/>
          <w:shd w:val="clear" w:color="auto" w:fill="FFFFFF"/>
          <w:lang w:val="en" w:eastAsia="zh-CN" w:bidi="ar"/>
        </w:rPr>
        <w:t>比2018年</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提高5.1个百分点</w:t>
      </w:r>
      <w:r>
        <w:rPr>
          <w:rFonts w:hint="eastAsia" w:ascii="仿宋_GB2312" w:hAnsi="仿宋_GB2312" w:eastAsia="仿宋_GB2312" w:cs="仿宋_GB2312"/>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黑体" w:hAnsi="黑体" w:eastAsia="黑体" w:cs="黑体"/>
          <w:b w:val="0"/>
          <w:bCs/>
          <w:i w:val="0"/>
          <w:caps w:val="0"/>
          <w:color w:val="auto"/>
          <w:spacing w:val="0"/>
          <w:kern w:val="0"/>
          <w:sz w:val="32"/>
          <w:szCs w:val="32"/>
          <w:highlight w:val="none"/>
          <w:lang w:bidi="ar"/>
        </w:rPr>
      </w:pPr>
      <w:r>
        <w:rPr>
          <w:rFonts w:hint="eastAsia" w:ascii="黑体" w:hAnsi="黑体" w:eastAsia="黑体" w:cs="黑体"/>
          <w:b w:val="0"/>
          <w:bCs/>
          <w:i w:val="0"/>
          <w:caps w:val="0"/>
          <w:color w:val="auto"/>
          <w:spacing w:val="0"/>
          <w:kern w:val="0"/>
          <w:sz w:val="32"/>
          <w:szCs w:val="32"/>
          <w:highlight w:val="none"/>
          <w:lang w:val="en-US" w:eastAsia="zh-CN" w:bidi="ar"/>
        </w:rPr>
        <w:t>五、文化及相关产业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8" w:firstLineChars="200"/>
        <w:jc w:val="both"/>
        <w:textAlignment w:val="auto"/>
        <w:rPr>
          <w:rFonts w:hint="eastAsia" w:ascii="仿宋_GB2312" w:hAnsi="仿宋_GB2312" w:eastAsia="仿宋_GB2312" w:cs="仿宋_GB2312"/>
          <w:color w:val="auto"/>
          <w:spacing w:val="-6"/>
          <w:kern w:val="2"/>
          <w:sz w:val="32"/>
          <w:szCs w:val="32"/>
          <w:u w:val="none"/>
          <w:lang w:val="en-US" w:eastAsia="zh-CN" w:bidi="ar-SA"/>
        </w:rPr>
      </w:pPr>
      <w:r>
        <w:rPr>
          <w:rFonts w:hint="eastAsia" w:ascii="仿宋_GB2312" w:hAnsi="仿宋_GB2312" w:eastAsia="仿宋_GB2312" w:cs="仿宋_GB2312"/>
          <w:color w:val="auto"/>
          <w:spacing w:val="-6"/>
          <w:kern w:val="2"/>
          <w:sz w:val="32"/>
          <w:szCs w:val="32"/>
          <w:u w:val="none"/>
          <w:lang w:val="en-US" w:eastAsia="zh-CN" w:bidi="ar-SA"/>
        </w:rPr>
        <w:t>2023年末，全区共有文化及相关产业法人单位</w:t>
      </w:r>
      <w:r>
        <w:rPr>
          <w:rFonts w:hint="eastAsia" w:ascii="仿宋_GB2312" w:hAnsi="仿宋_GB2312" w:eastAsia="仿宋_GB2312" w:cs="仿宋_GB2312"/>
          <w:color w:val="auto"/>
          <w:sz w:val="32"/>
          <w:szCs w:val="32"/>
          <w:u w:val="none"/>
          <w:lang w:val="en-US" w:eastAsia="zh-CN"/>
        </w:rPr>
        <w:t>2109</w:t>
      </w:r>
      <w:r>
        <w:rPr>
          <w:rFonts w:hint="eastAsia" w:ascii="仿宋_GB2312" w:hAnsi="仿宋_GB2312" w:eastAsia="仿宋_GB2312" w:cs="仿宋_GB2312"/>
          <w:color w:val="auto"/>
          <w:spacing w:val="-6"/>
          <w:kern w:val="2"/>
          <w:sz w:val="32"/>
          <w:szCs w:val="32"/>
          <w:u w:val="none"/>
          <w:lang w:val="en-US" w:eastAsia="zh-CN" w:bidi="ar-SA"/>
        </w:rPr>
        <w:t>个，从业人员</w:t>
      </w:r>
      <w:r>
        <w:rPr>
          <w:rFonts w:hint="eastAsia" w:ascii="仿宋_GB2312" w:hAnsi="仿宋_GB2312" w:eastAsia="仿宋_GB2312" w:cs="仿宋_GB2312"/>
          <w:color w:val="auto"/>
          <w:sz w:val="32"/>
          <w:szCs w:val="32"/>
          <w:u w:val="none"/>
          <w:lang w:val="en-US" w:eastAsia="zh-CN"/>
        </w:rPr>
        <w:t>1.58</w:t>
      </w:r>
      <w:r>
        <w:rPr>
          <w:rFonts w:hint="eastAsia" w:ascii="仿宋_GB2312" w:hAnsi="仿宋_GB2312" w:eastAsia="仿宋_GB2312" w:cs="仿宋_GB2312"/>
          <w:color w:val="auto"/>
          <w:spacing w:val="-6"/>
          <w:kern w:val="2"/>
          <w:sz w:val="32"/>
          <w:szCs w:val="32"/>
          <w:u w:val="none"/>
          <w:lang w:val="en-US" w:eastAsia="zh-CN" w:bidi="ar-SA"/>
        </w:rPr>
        <w:t>万人，资产总计</w:t>
      </w:r>
      <w:r>
        <w:rPr>
          <w:rFonts w:hint="eastAsia" w:ascii="仿宋_GB2312" w:hAnsi="仿宋_GB2312" w:eastAsia="仿宋_GB2312" w:cs="仿宋_GB2312"/>
          <w:color w:val="auto"/>
          <w:sz w:val="32"/>
          <w:szCs w:val="32"/>
          <w:u w:val="none"/>
          <w:lang w:val="en-US" w:eastAsia="zh-CN"/>
        </w:rPr>
        <w:t>130.57</w:t>
      </w:r>
      <w:r>
        <w:rPr>
          <w:rFonts w:hint="eastAsia" w:ascii="仿宋_GB2312" w:hAnsi="仿宋_GB2312" w:eastAsia="仿宋_GB2312" w:cs="仿宋_GB2312"/>
          <w:color w:val="auto"/>
          <w:spacing w:val="-6"/>
          <w:kern w:val="2"/>
          <w:sz w:val="32"/>
          <w:szCs w:val="32"/>
          <w:u w:val="none"/>
          <w:lang w:val="en-US" w:eastAsia="zh-CN" w:bidi="ar-SA"/>
        </w:rPr>
        <w:t>亿元。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8" w:firstLineChars="200"/>
        <w:jc w:val="both"/>
        <w:textAlignment w:val="auto"/>
        <w:rPr>
          <w:rFonts w:hint="eastAsia" w:ascii="仿宋_GB2312" w:hAnsi="仿宋_GB2312" w:eastAsia="仿宋_GB2312" w:cs="仿宋_GB2312"/>
          <w:color w:val="auto"/>
          <w:spacing w:val="-6"/>
          <w:kern w:val="2"/>
          <w:sz w:val="32"/>
          <w:szCs w:val="32"/>
          <w:u w:val="none"/>
          <w:lang w:val="en-US" w:eastAsia="zh-CN" w:bidi="ar-SA"/>
        </w:rPr>
      </w:pPr>
      <w:r>
        <w:rPr>
          <w:rFonts w:hint="eastAsia" w:ascii="仿宋_GB2312" w:hAnsi="仿宋_GB2312" w:eastAsia="仿宋_GB2312" w:cs="仿宋_GB2312"/>
          <w:color w:val="auto"/>
          <w:spacing w:val="-6"/>
          <w:kern w:val="2"/>
          <w:sz w:val="32"/>
          <w:szCs w:val="32"/>
          <w:u w:val="none"/>
          <w:lang w:val="en-US" w:eastAsia="zh-CN" w:bidi="ar-SA"/>
        </w:rPr>
        <w:t>2023年末，全区共有经营性文化产业法人单位2053个，从业人员</w:t>
      </w:r>
      <w:r>
        <w:rPr>
          <w:rFonts w:hint="eastAsia" w:ascii="仿宋_GB2312" w:hAnsi="仿宋_GB2312" w:eastAsia="仿宋_GB2312" w:cs="仿宋_GB2312"/>
          <w:color w:val="auto"/>
          <w:sz w:val="32"/>
          <w:szCs w:val="32"/>
          <w:u w:val="none"/>
          <w:lang w:val="en-US" w:eastAsia="zh-CN"/>
        </w:rPr>
        <w:t>1.56</w:t>
      </w:r>
      <w:r>
        <w:rPr>
          <w:rFonts w:hint="eastAsia" w:ascii="仿宋_GB2312" w:hAnsi="仿宋_GB2312" w:eastAsia="仿宋_GB2312" w:cs="仿宋_GB2312"/>
          <w:color w:val="auto"/>
          <w:spacing w:val="-6"/>
          <w:kern w:val="2"/>
          <w:sz w:val="32"/>
          <w:szCs w:val="32"/>
          <w:u w:val="none"/>
          <w:lang w:val="en-US" w:eastAsia="zh-CN" w:bidi="ar-SA"/>
        </w:rPr>
        <w:t>万人，资产总计</w:t>
      </w:r>
      <w:r>
        <w:rPr>
          <w:rFonts w:hint="eastAsia" w:ascii="仿宋_GB2312" w:hAnsi="仿宋_GB2312" w:eastAsia="仿宋_GB2312" w:cs="仿宋_GB2312"/>
          <w:color w:val="auto"/>
          <w:sz w:val="32"/>
          <w:szCs w:val="32"/>
          <w:u w:val="none"/>
          <w:lang w:val="en-US" w:eastAsia="zh-CN"/>
        </w:rPr>
        <w:t>128.60</w:t>
      </w:r>
      <w:r>
        <w:rPr>
          <w:rFonts w:hint="eastAsia" w:ascii="仿宋_GB2312" w:hAnsi="仿宋_GB2312" w:eastAsia="仿宋_GB2312" w:cs="仿宋_GB2312"/>
          <w:color w:val="auto"/>
          <w:spacing w:val="-6"/>
          <w:kern w:val="2"/>
          <w:sz w:val="32"/>
          <w:szCs w:val="32"/>
          <w:u w:val="none"/>
          <w:lang w:val="en-US" w:eastAsia="zh-CN" w:bidi="ar-SA"/>
        </w:rPr>
        <w:t>亿元，全年实现营业收入142.65亿元。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8" w:firstLineChars="200"/>
        <w:jc w:val="both"/>
        <w:textAlignment w:val="auto"/>
        <w:rPr>
          <w:rFonts w:hint="eastAsia" w:ascii="仿宋_GB2312" w:hAnsi="仿宋_GB2312" w:eastAsia="仿宋_GB2312" w:cs="仿宋_GB2312"/>
          <w:color w:val="auto"/>
          <w:spacing w:val="-6"/>
          <w:kern w:val="2"/>
          <w:sz w:val="32"/>
          <w:szCs w:val="32"/>
          <w:u w:val="none"/>
          <w:lang w:val="en-US" w:eastAsia="zh-CN" w:bidi="ar-SA"/>
        </w:rPr>
      </w:pPr>
      <w:r>
        <w:rPr>
          <w:rFonts w:hint="eastAsia" w:ascii="仿宋_GB2312" w:hAnsi="仿宋_GB2312" w:eastAsia="仿宋_GB2312" w:cs="仿宋_GB2312"/>
          <w:color w:val="auto"/>
          <w:spacing w:val="-6"/>
          <w:kern w:val="2"/>
          <w:sz w:val="32"/>
          <w:szCs w:val="32"/>
          <w:u w:val="none"/>
          <w:lang w:val="en-US" w:eastAsia="zh-CN" w:bidi="ar-SA"/>
        </w:rPr>
        <w:t>2023年末，全区共有公益性文化事业（含社团）法人单位</w:t>
      </w:r>
      <w:r>
        <w:rPr>
          <w:rFonts w:hint="eastAsia" w:ascii="仿宋_GB2312" w:hAnsi="仿宋_GB2312" w:eastAsia="仿宋_GB2312" w:cs="仿宋_GB2312"/>
          <w:color w:val="auto"/>
          <w:sz w:val="32"/>
          <w:szCs w:val="32"/>
          <w:u w:val="none"/>
          <w:lang w:val="en-US" w:eastAsia="zh-CN"/>
        </w:rPr>
        <w:t>56</w:t>
      </w:r>
      <w:r>
        <w:rPr>
          <w:rFonts w:hint="eastAsia" w:ascii="仿宋_GB2312" w:hAnsi="仿宋_GB2312" w:eastAsia="仿宋_GB2312" w:cs="仿宋_GB2312"/>
          <w:color w:val="auto"/>
          <w:spacing w:val="-6"/>
          <w:kern w:val="2"/>
          <w:sz w:val="32"/>
          <w:szCs w:val="32"/>
          <w:u w:val="none"/>
          <w:lang w:val="en-US" w:eastAsia="zh-CN" w:bidi="ar-SA"/>
        </w:rPr>
        <w:t>个，从业人员</w:t>
      </w:r>
      <w:r>
        <w:rPr>
          <w:rFonts w:hint="eastAsia" w:ascii="仿宋_GB2312" w:hAnsi="仿宋_GB2312" w:eastAsia="仿宋_GB2312" w:cs="仿宋_GB2312"/>
          <w:color w:val="auto"/>
          <w:sz w:val="32"/>
          <w:szCs w:val="32"/>
          <w:u w:val="none"/>
          <w:lang w:val="en-US" w:eastAsia="zh-CN"/>
        </w:rPr>
        <w:t>253</w:t>
      </w:r>
      <w:r>
        <w:rPr>
          <w:rFonts w:hint="eastAsia" w:ascii="仿宋_GB2312" w:hAnsi="仿宋_GB2312" w:eastAsia="仿宋_GB2312" w:cs="仿宋_GB2312"/>
          <w:color w:val="auto"/>
          <w:spacing w:val="-6"/>
          <w:kern w:val="2"/>
          <w:sz w:val="32"/>
          <w:szCs w:val="32"/>
          <w:u w:val="none"/>
          <w:lang w:val="en-US" w:eastAsia="zh-CN" w:bidi="ar-SA"/>
        </w:rPr>
        <w:t>人，资产总计</w:t>
      </w:r>
      <w:r>
        <w:rPr>
          <w:rFonts w:hint="eastAsia" w:ascii="仿宋_GB2312" w:hAnsi="仿宋_GB2312" w:eastAsia="仿宋_GB2312" w:cs="仿宋_GB2312"/>
          <w:color w:val="auto"/>
          <w:sz w:val="32"/>
          <w:szCs w:val="32"/>
          <w:u w:val="none"/>
          <w:lang w:val="en-US" w:eastAsia="zh-CN"/>
        </w:rPr>
        <w:t>1.98</w:t>
      </w:r>
      <w:r>
        <w:rPr>
          <w:rFonts w:hint="eastAsia" w:ascii="仿宋_GB2312" w:hAnsi="仿宋_GB2312" w:eastAsia="仿宋_GB2312" w:cs="仿宋_GB2312"/>
          <w:color w:val="auto"/>
          <w:spacing w:val="-6"/>
          <w:kern w:val="2"/>
          <w:sz w:val="32"/>
          <w:szCs w:val="32"/>
          <w:u w:val="none"/>
          <w:lang w:val="en-US" w:eastAsia="zh-CN" w:bidi="ar-SA"/>
        </w:rPr>
        <w:t>亿元，本年支出（费用）合计</w:t>
      </w:r>
      <w:r>
        <w:rPr>
          <w:rFonts w:hint="eastAsia" w:ascii="仿宋_GB2312" w:hAnsi="仿宋_GB2312" w:eastAsia="仿宋_GB2312" w:cs="仿宋_GB2312"/>
          <w:color w:val="auto"/>
          <w:sz w:val="32"/>
          <w:szCs w:val="32"/>
          <w:u w:val="none"/>
          <w:lang w:val="en-US" w:eastAsia="zh-CN"/>
        </w:rPr>
        <w:t>0.75</w:t>
      </w:r>
      <w:r>
        <w:rPr>
          <w:rFonts w:hint="eastAsia" w:ascii="仿宋_GB2312" w:hAnsi="仿宋_GB2312" w:eastAsia="仿宋_GB2312" w:cs="仿宋_GB2312"/>
          <w:color w:val="auto"/>
          <w:spacing w:val="-6"/>
          <w:kern w:val="2"/>
          <w:sz w:val="32"/>
          <w:szCs w:val="32"/>
          <w:u w:val="none"/>
          <w:lang w:val="en-US" w:eastAsia="zh-CN" w:bidi="ar-SA"/>
        </w:rPr>
        <w:t>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92" w:firstLineChars="200"/>
        <w:jc w:val="both"/>
        <w:textAlignment w:val="auto"/>
        <w:rPr>
          <w:rFonts w:hint="eastAsia" w:ascii="Times New Roman" w:hAnsi="Times New Roman" w:eastAsia="方正仿宋_GBK" w:cs="仿宋_GB2312"/>
          <w:i w:val="0"/>
          <w:caps w:val="0"/>
          <w:color w:val="auto"/>
          <w:spacing w:val="0"/>
          <w:sz w:val="30"/>
          <w:szCs w:val="30"/>
          <w:highlight w:val="none"/>
        </w:rPr>
      </w:pP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i w:val="0"/>
          <w:caps w:val="0"/>
          <w:color w:val="auto"/>
          <w:spacing w:val="0"/>
          <w:sz w:val="32"/>
          <w:szCs w:val="32"/>
          <w:highlight w:val="none"/>
        </w:rPr>
      </w:pPr>
      <w:r>
        <w:rPr>
          <w:rFonts w:hint="eastAsia" w:ascii="黑体" w:hAnsi="黑体" w:eastAsia="黑体" w:cs="黑体"/>
          <w:b w:val="0"/>
          <w:bCs/>
          <w:i w:val="0"/>
          <w:caps w:val="0"/>
          <w:color w:val="auto"/>
          <w:spacing w:val="0"/>
          <w:kern w:val="0"/>
          <w:sz w:val="32"/>
          <w:szCs w:val="32"/>
          <w:highlight w:val="none"/>
          <w:lang w:val="en-US" w:eastAsia="zh-CN" w:bidi="ar"/>
        </w:rPr>
        <w:t>注释：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kern w:val="0"/>
          <w:sz w:val="32"/>
          <w:szCs w:val="32"/>
          <w:highlight w:val="none"/>
          <w:lang w:val="en-US" w:eastAsia="zh-CN" w:bidi="ar"/>
        </w:rPr>
        <w:t>[1]战略性新兴产业：根据《国务院关于加快培育和发展战略性新兴产业的决定》（国发〔2010〕32号）的精神和国家统计局制定的《战略性新兴产业分类（2018）》《工业战略性新兴产业分类目录（2023）》确定。战略性新兴产业是以重大技术突破和重大发展需求为基础，对经济社会全局和长远发展具有重大引领带动作用，知识技术密集、物质资源消耗少、成长潜力大、综合效益好的产业，包括：新一代信息技术产业、高端装备制造业、新材料产业、生物产业、新能源汽车产业、新能源产业、绿色环保产业、航空航天产业、海洋装备产业、数字创意产业、相关服务业等领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kern w:val="0"/>
          <w:sz w:val="32"/>
          <w:szCs w:val="32"/>
          <w:highlight w:val="none"/>
          <w:lang w:val="en-US" w:eastAsia="zh-CN" w:bidi="ar"/>
        </w:rPr>
        <w:t>[2]规模以上工业：是指年主营业务收入2000万元及以上的工业法人单位。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[3]高技术制造业：按照《高技术产业（制造业）分类（2017）》，高技术制造业是指国民经济行业中R&amp;D投入强度相对高的制造业行业，包括：医药制造，航空、航天器及设备制造，电子及通信设备制造，计算机及办公设备制造，医疗仪器设备及仪器仪表制造，信息化学品制造等6大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kern w:val="0"/>
          <w:sz w:val="32"/>
          <w:szCs w:val="32"/>
          <w:highlight w:val="none"/>
          <w:lang w:val="en-US" w:eastAsia="zh-CN" w:bidi="ar"/>
        </w:rPr>
        <w:t>[4]规模以上服务业：是指年营业收入2000万元及以上服务业法人单位，包括交通运输、仓储和邮政业，信息传输、软件和信息技术服务业，水利、环境和公共设施管理业3个行业门类和卫生行业大类；年营业收入1000万元及以上服务业法人单位，包括租赁和商务服务业，科学研究和技术服务业，教育3个行业门类，以及物业管理、房地产中介服务、房地产租赁经营和其他房地产业4个行业小类；年营业收入500万元及以上服务业法人单位，包括居民服务、修理和其他服务业，文化、体育和娱乐业2个行业门类，以及社会工作行业大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[5]高技术服务业：按照《高技术产业（服务业）分类（2018）》，高技术服务业是采用高技术手段为社会提供服务活动的集合，包括信息服务、电子商务服务、检验检测服务、专业技术服务业的高技术服务、研发与设计服务、科技成果转化服务、知识产权及相关法律服务、环境监测及治理服务和其他高技术服务等9大类</w:t>
      </w:r>
      <w:r>
        <w:rPr>
          <w:rFonts w:hint="eastAsia" w:ascii="仿宋_GB2312" w:hAnsi="仿宋_GB2312" w:eastAsia="仿宋_GB2312" w:cs="仿宋_GB2312"/>
          <w:color w:val="auto"/>
          <w:kern w:val="0"/>
          <w:sz w:val="32"/>
          <w:szCs w:val="32"/>
          <w:highlight w:val="none"/>
          <w:lang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color w:val="auto"/>
          <w:kern w:val="0"/>
          <w:sz w:val="32"/>
          <w:szCs w:val="32"/>
          <w:highlight w:val="none"/>
          <w:lang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[6]数字经济：按照《数字经济及其核心产业统计分类（2021）》，数字经济产业范围包括01数字产品制造业、02数字产品服务业、03数字技术应用业、04数字要素驱动业、05数字化效率提升业等5个大类。其中，01-04大类为数字经济核心产业，是指为产业数字化发展提供数字技术、产品、服务、基础设施和解决方案，以及完全依赖于数字技术、数据要素的各类经济活动</w:t>
      </w:r>
      <w:r>
        <w:rPr>
          <w:rFonts w:hint="eastAsia" w:ascii="仿宋_GB2312" w:hAnsi="仿宋_GB2312" w:eastAsia="仿宋_GB2312" w:cs="仿宋_GB2312"/>
          <w:color w:val="auto"/>
          <w:kern w:val="0"/>
          <w:sz w:val="32"/>
          <w:szCs w:val="32"/>
          <w:highlight w:val="none"/>
          <w:lang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[7]研究与试验发展：是指为增加知识存量（也包括有关人类、文化和社会的知识）以及设计已有知识的新应用而进行的创造性、系统性工作，包括基础研究、应用研究和试验发展3种类型。</w:t>
      </w:r>
    </w:p>
    <w:p>
      <w:pPr>
        <w:pStyle w:val="8"/>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[8]文化及相关产业：根据《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pPr>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[9]:高技术制造业：规模以上高技术制造业企业法人单位R&amp;D及全年专利申请量均不包括火炬。</w:t>
      </w:r>
    </w:p>
    <w:p>
      <w:pPr>
        <w:pStyle w:val="2"/>
        <w:rPr>
          <w:rFonts w:hint="default"/>
          <w:color w:val="auto"/>
          <w:highlight w:val="none"/>
          <w:lang w:val="en-US" w:eastAsia="zh-CN"/>
        </w:rPr>
      </w:pPr>
      <w:r>
        <w:rPr>
          <w:rFonts w:hint="eastAsia" w:ascii="仿宋_GB2312" w:hAnsi="仿宋_GB2312" w:eastAsia="仿宋_GB2312" w:cs="仿宋_GB2312"/>
          <w:color w:val="auto"/>
          <w:spacing w:val="-6"/>
          <w:kern w:val="2"/>
          <w:sz w:val="32"/>
          <w:szCs w:val="32"/>
          <w:highlight w:val="none"/>
          <w:u w:val="none"/>
          <w:lang w:val="en-US" w:eastAsia="zh-CN" w:bidi="ar-SA"/>
        </w:rPr>
        <w:t>[10]:工业企业研究与试验发展活动：规模以上工业企业法人单位R&amp;D及全年专利申请量均不包括火炬。</w:t>
      </w:r>
    </w:p>
    <w:p>
      <w:pPr>
        <w:keepNext w:val="0"/>
        <w:keepLines w:val="0"/>
        <w:pageBreakBefore w:val="0"/>
        <w:kinsoku/>
        <w:wordWrap/>
        <w:topLinePunct w:val="0"/>
        <w:autoSpaceDE/>
        <w:autoSpaceDN/>
        <w:bidi w:val="0"/>
        <w:spacing w:line="600" w:lineRule="exact"/>
        <w:rPr>
          <w:rFonts w:hint="eastAsia" w:ascii="Times New Roman" w:hAnsi="Times New Roman"/>
          <w:color w:val="auto"/>
          <w:highlight w:val="none"/>
          <w:lang w:val="en-US" w:eastAsia="zh-CN"/>
        </w:rPr>
      </w:pPr>
    </w:p>
    <w:p>
      <w:pPr>
        <w:keepNext w:val="0"/>
        <w:keepLines w:val="0"/>
        <w:pageBreakBefore w:val="0"/>
        <w:kinsoku/>
        <w:wordWrap/>
        <w:topLinePunct w:val="0"/>
        <w:autoSpaceDE/>
        <w:autoSpaceDN/>
        <w:bidi w:val="0"/>
        <w:spacing w:line="600" w:lineRule="exact"/>
        <w:rPr>
          <w:rFonts w:hint="eastAsia" w:ascii="Times New Roman" w:hAnsi="Times New Roman"/>
          <w:color w:val="auto"/>
          <w:highlight w:val="none"/>
          <w:lang w:val="en-US" w:eastAsia="zh-CN"/>
        </w:rPr>
      </w:pPr>
    </w:p>
    <w:p>
      <w:pPr>
        <w:pStyle w:val="9"/>
        <w:keepNext w:val="0"/>
        <w:keepLines w:val="0"/>
        <w:pageBreakBefore w:val="0"/>
        <w:kinsoku/>
        <w:wordWrap/>
        <w:topLinePunct w:val="0"/>
        <w:autoSpaceDE/>
        <w:autoSpaceDN/>
        <w:bidi w:val="0"/>
        <w:spacing w:line="600" w:lineRule="exact"/>
        <w:ind w:left="0" w:leftChars="0" w:firstLine="0" w:firstLineChars="0"/>
        <w:rPr>
          <w:rFonts w:hint="eastAsia" w:ascii="Times New Roman" w:hAnsi="Times New Roman" w:cs="Times New Roman"/>
          <w:color w:val="auto"/>
          <w:kern w:val="2"/>
          <w:sz w:val="36"/>
          <w:szCs w:val="36"/>
          <w:highlight w:val="none"/>
          <w:u w:val="none"/>
          <w:lang w:val="en-US" w:eastAsia="zh-CN" w:bidi="ar-SA"/>
        </w:rPr>
      </w:pPr>
    </w:p>
    <w:p>
      <w:pPr>
        <w:pStyle w:val="9"/>
        <w:keepNext w:val="0"/>
        <w:keepLines w:val="0"/>
        <w:pageBreakBefore w:val="0"/>
        <w:kinsoku/>
        <w:wordWrap/>
        <w:topLinePunct w:val="0"/>
        <w:autoSpaceDE/>
        <w:autoSpaceDN/>
        <w:bidi w:val="0"/>
        <w:spacing w:line="600" w:lineRule="exact"/>
        <w:ind w:firstLine="0" w:firstLineChars="0"/>
        <w:rPr>
          <w:rFonts w:hint="eastAsia" w:ascii="Times New Roman" w:hAnsi="Times New Roman" w:cs="Times New Roman"/>
          <w:color w:val="auto"/>
          <w:kern w:val="2"/>
          <w:sz w:val="36"/>
          <w:szCs w:val="36"/>
          <w:highlight w:val="none"/>
          <w:u w:val="none"/>
          <w:lang w:val="en-US" w:eastAsia="zh-CN" w:bidi="ar-SA"/>
        </w:rPr>
      </w:pPr>
    </w:p>
    <w:p/>
    <w:sectPr>
      <w:headerReference r:id="rId5" w:type="default"/>
      <w:footerReference r:id="rId7" w:type="default"/>
      <w:headerReference r:id="rId6" w:type="even"/>
      <w:footerReference r:id="rId8" w:type="even"/>
      <w:footnotePr>
        <w:numFmt w:val="decimal"/>
        <w:numRestart w:val="eachPage"/>
      </w:footnotePr>
      <w:pgSz w:w="11906" w:h="16838"/>
      <w:pgMar w:top="2098" w:right="1474" w:bottom="1984" w:left="1587" w:header="851" w:footer="1474" w:gutter="0"/>
      <w:pgBorders>
        <w:top w:val="none" w:sz="0" w:space="0"/>
        <w:left w:val="none" w:sz="0" w:space="0"/>
        <w:bottom w:val="none" w:sz="0" w:space="0"/>
        <w:right w:val="none" w:sz="0" w:space="0"/>
      </w:pgBorders>
      <w:pgNumType w:fmt="decimal"/>
      <w:cols w:space="72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Arial"/>
    <w:panose1 w:val="020F0502020204030204"/>
    <w:charset w:val="00"/>
    <w:family w:val="swiss"/>
    <w:pitch w:val="default"/>
    <w:sig w:usb0="00000000" w:usb1="00000000" w:usb2="00000001" w:usb3="00000000" w:csb0="0000019F" w:csb1="00000000"/>
  </w:font>
  <w:font w:name="Arial">
    <w:panose1 w:val="020B0704020202020204"/>
    <w:charset w:val="00"/>
    <w:family w:val="auto"/>
    <w:pitch w:val="default"/>
    <w:sig w:usb0="E0002AFF" w:usb1="C0007843" w:usb2="00000009" w:usb3="00000000" w:csb0="400001FF" w:csb1="FFFF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141" w:firstLine="560"/>
      <w:jc w:val="right"/>
      <w:rPr>
        <w:rFonts w:ascii="仿宋_GB2312" w:hAnsi="宋体" w:eastAsia="仿宋_GB2312"/>
        <w:caps/>
        <w:color w:val="auto"/>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spacing w:line="240" w:lineRule="auto"/>
                            <w:ind w:left="320" w:leftChars="100" w:right="320" w:rightChars="10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6"/>
                      <w:spacing w:line="240" w:lineRule="auto"/>
                      <w:ind w:left="320" w:leftChars="100" w:right="320" w:rightChars="10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right="141" w:firstLine="0" w:firstLineChars="0"/>
      <w:rPr>
        <w:rFonts w:ascii="仿宋_GB2312" w:hAnsi="宋体" w:eastAsia="仿宋_GB2312"/>
        <w:caps/>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ql5uc8AAAAFAQAADwAAAAAAAAABACAAAAA4AAAAZHJzL2Rvd25yZXYueG1sUEsBAhQAFAAA&#10;AAgAh07iQOkHDu/iAQAAzAMAAA4AAAAAAAAAAQAgAAAANAEAAGRycy9lMm9Eb2MueG1sUEsFBgAA&#10;AAAGAAYAWQEAAIgFAAAAAA==&#10;">
              <v:fill on="f" focussize="0,0"/>
              <v:stroke on="f"/>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ind w:firstLine="632"/>
      </w:pPr>
      <w:r>
        <w:separator/>
      </w:r>
    </w:p>
  </w:footnote>
  <w:footnote w:type="continuationSeparator" w:id="5">
    <w:p>
      <w:pPr>
        <w:spacing w:line="240" w:lineRule="auto"/>
        <w:ind w:firstLine="632"/>
      </w:pPr>
      <w:r>
        <w:continuationSeparator/>
      </w:r>
    </w:p>
  </w:footnote>
  <w:footnote w:id="0">
    <w:p>
      <w:pPr>
        <w:pStyle w:val="8"/>
        <w:snapToGrid w:val="0"/>
        <w:spacing w:line="240" w:lineRule="auto"/>
        <w:ind w:firstLine="0" w:firstLineChars="0"/>
        <w:jc w:val="left"/>
        <w:textAlignment w:val="auto"/>
        <w:rPr>
          <w:rFonts w:hint="eastAsia" w:ascii="宋体" w:hAnsi="宋体" w:eastAsia="宋体" w:cs="宋体"/>
          <w:szCs w:val="18"/>
          <w:lang w:val="en-US" w:eastAsia="zh-CN"/>
        </w:rPr>
      </w:pPr>
      <w:r>
        <w:rPr>
          <w:rStyle w:val="12"/>
          <w:rFonts w:hint="eastAsia" w:ascii="Calibri" w:hAnsi="Calibri" w:eastAsia="宋体" w:cs="Times New Roman"/>
          <w:vertAlign w:val="superscript"/>
        </w:rPr>
        <w:footnoteRef/>
      </w:r>
      <w:r>
        <w:rPr>
          <w:rStyle w:val="12"/>
          <w:rFonts w:hint="eastAsia" w:ascii="Calibri" w:hAnsi="Calibri" w:eastAsia="宋体" w:cs="Times New Roman"/>
          <w:vertAlign w:val="superscript"/>
        </w:rPr>
        <w:t xml:space="preserve"> </w:t>
      </w:r>
      <w:r>
        <w:rPr>
          <w:rFonts w:hint="eastAsia" w:ascii="宋体" w:hAnsi="宋体" w:eastAsia="宋体" w:cs="宋体"/>
          <w:szCs w:val="18"/>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 w:id="1">
    <w:p>
      <w:pPr>
        <w:pStyle w:val="8"/>
        <w:snapToGrid w:val="0"/>
        <w:spacing w:line="240" w:lineRule="auto"/>
        <w:ind w:firstLine="0" w:firstLineChars="0"/>
        <w:jc w:val="left"/>
        <w:textAlignment w:val="auto"/>
        <w:rPr>
          <w:rFonts w:hint="eastAsia" w:ascii="宋体" w:hAnsi="宋体" w:eastAsia="宋体" w:cs="宋体"/>
          <w:szCs w:val="18"/>
          <w:lang w:val="en-US" w:eastAsia="zh-CN"/>
        </w:rPr>
      </w:pPr>
      <w:r>
        <w:rPr>
          <w:rStyle w:val="12"/>
          <w:rFonts w:hint="eastAsia" w:ascii="Calibri" w:hAnsi="Calibri" w:eastAsia="宋体" w:cs="Times New Roman"/>
          <w:vertAlign w:val="superscript"/>
        </w:rPr>
        <w:footnoteRef/>
      </w:r>
      <w:r>
        <w:rPr>
          <w:rStyle w:val="12"/>
          <w:rFonts w:hint="eastAsia" w:ascii="Calibri" w:hAnsi="Calibri" w:eastAsia="宋体" w:cs="Times New Roman"/>
          <w:vertAlign w:val="superscript"/>
        </w:rPr>
        <w:t xml:space="preserve"> </w:t>
      </w:r>
      <w:r>
        <w:rPr>
          <w:rFonts w:hint="eastAsia" w:ascii="宋体" w:hAnsi="宋体" w:eastAsia="宋体" w:cs="宋体"/>
          <w:szCs w:val="18"/>
        </w:rPr>
        <w:t>部分企业从事多</w:t>
      </w:r>
      <w:r>
        <w:rPr>
          <w:rFonts w:hint="eastAsia" w:ascii="宋体" w:hAnsi="宋体" w:eastAsia="宋体" w:cs="宋体"/>
          <w:szCs w:val="18"/>
          <w:lang w:eastAsia="zh-CN"/>
        </w:rPr>
        <w:t>个</w:t>
      </w:r>
      <w:r>
        <w:rPr>
          <w:rFonts w:hint="eastAsia" w:ascii="宋体" w:hAnsi="宋体" w:eastAsia="宋体" w:cs="宋体"/>
          <w:szCs w:val="18"/>
        </w:rPr>
        <w:t>工业战略性新兴产业领域生产活动，故工业战略性新兴产业9大领域企业法人单位数量之和大于从事战略性新兴产业生产的规模以上工业企业法人单位数量。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52E7E"/>
    <w:rsid w:val="034A025D"/>
    <w:rsid w:val="07F5453E"/>
    <w:rsid w:val="0A5C6D5B"/>
    <w:rsid w:val="106942A2"/>
    <w:rsid w:val="1F94583F"/>
    <w:rsid w:val="26626004"/>
    <w:rsid w:val="313131EE"/>
    <w:rsid w:val="42252E7E"/>
    <w:rsid w:val="448E55B3"/>
    <w:rsid w:val="6177201B"/>
    <w:rsid w:val="69C512C6"/>
    <w:rsid w:val="728124EA"/>
    <w:rsid w:val="78A413FA"/>
    <w:rsid w:val="7C9C475F"/>
    <w:rsid w:val="FBBF8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2"/>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1.正文"/>
    <w:basedOn w:val="1"/>
    <w:next w:val="3"/>
    <w:qFormat/>
    <w:uiPriority w:val="0"/>
    <w:rPr>
      <w:rFonts w:ascii="Times New Roman" w:hAnsi="Times New Roman" w:eastAsia="宋体" w:cs="Times New Roman"/>
      <w:szCs w:val="21"/>
    </w:rPr>
  </w:style>
  <w:style w:type="paragraph" w:styleId="3">
    <w:name w:val="index 5"/>
    <w:basedOn w:val="1"/>
    <w:next w:val="1"/>
    <w:qFormat/>
    <w:uiPriority w:val="0"/>
    <w:pPr>
      <w:widowControl w:val="0"/>
      <w:jc w:val="both"/>
    </w:pPr>
    <w:rPr>
      <w:rFonts w:ascii="Calibri" w:hAnsi="Calibri" w:eastAsia="宋体" w:cs="Times New Roman"/>
      <w:kern w:val="2"/>
      <w:sz w:val="21"/>
      <w:lang w:val="en-US" w:eastAsia="zh-CN" w:bidi="ar-SA"/>
    </w:rPr>
  </w:style>
  <w:style w:type="paragraph" w:styleId="4">
    <w:name w:val="Normal Indent"/>
    <w:basedOn w:val="1"/>
    <w:next w:val="1"/>
    <w:qFormat/>
    <w:uiPriority w:val="0"/>
  </w:style>
  <w:style w:type="paragraph" w:styleId="5">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6">
    <w:name w:val="footer"/>
    <w:basedOn w:val="1"/>
    <w:next w:val="1"/>
    <w:semiHidden/>
    <w:qFormat/>
    <w:uiPriority w:val="99"/>
    <w:pPr>
      <w:tabs>
        <w:tab w:val="center" w:pos="4153"/>
        <w:tab w:val="right" w:pos="8306"/>
      </w:tabs>
      <w:snapToGrid w:val="0"/>
      <w:spacing w:line="240" w:lineRule="atLeast"/>
      <w:jc w:val="left"/>
    </w:pPr>
    <w:rPr>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8">
    <w:name w:val="footnote text"/>
    <w:basedOn w:val="1"/>
    <w:unhideWhenUsed/>
    <w:qFormat/>
    <w:uiPriority w:val="99"/>
    <w:pPr>
      <w:snapToGrid w:val="0"/>
      <w:jc w:val="left"/>
    </w:pPr>
    <w:rPr>
      <w:sz w:val="18"/>
    </w:rPr>
  </w:style>
  <w:style w:type="paragraph" w:styleId="9">
    <w:name w:val="Body Text First Indent 2"/>
    <w:basedOn w:val="5"/>
    <w:next w:val="1"/>
    <w:qFormat/>
    <w:uiPriority w:val="0"/>
    <w:pPr>
      <w:ind w:firstLine="420" w:firstLineChars="200"/>
    </w:pPr>
  </w:style>
  <w:style w:type="character" w:styleId="12">
    <w:name w:val="footnote reference"/>
    <w:basedOn w:val="11"/>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3380</Words>
  <Characters>3642</Characters>
  <Lines>0</Lines>
  <Paragraphs>0</Paragraphs>
  <TotalTime>2</TotalTime>
  <ScaleCrop>false</ScaleCrop>
  <LinksUpToDate>false</LinksUpToDate>
  <CharactersWithSpaces>3650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2025-03-17T16:10:00Z</dcterms:created>
  <dc:creator>WPS_1663469602</dc:creator>
  <cp:lastModifiedBy>海沧区统计局</cp:lastModifiedBy>
  <dcterms:modified xsi:type="dcterms:W3CDTF">2025-05-23T08:21:35Z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76A77BDB527841DCABA682DC66B5031F_13</vt:lpwstr>
  </property>
  <property fmtid="{D5CDD505-2E9C-101B-9397-08002B2CF9AE}" pid="4" name="KSOTemplateDocerSaveRecord">
    <vt:lpwstr>eyJoZGlkIjoiZGJjMGRiMDdmMDdlOWU5YjdiNGYyNDg2YjkwMWQ4ODEiLCJ1c2VySWQiOiIxNDEzNzM4MTc5In0=</vt:lpwstr>
  </property>
</Properties>
</file>