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hAnsi="华文中宋" w:eastAsia="仿宋_GB2312"/>
          <w:sz w:val="32"/>
          <w:szCs w:val="32"/>
        </w:rPr>
      </w:pPr>
      <w:r>
        <w:rPr>
          <w:rFonts w:hint="eastAsia" w:ascii="仿宋_GB2312" w:hAnsi="华文中宋" w:eastAsia="仿宋_GB2312" w:cs="仿宋_GB2312"/>
          <w:sz w:val="32"/>
          <w:szCs w:val="32"/>
        </w:rPr>
        <w:t>附件1</w:t>
      </w:r>
    </w:p>
    <w:p>
      <w:pPr>
        <w:adjustRightInd w:val="0"/>
        <w:snapToGrid w:val="0"/>
        <w:spacing w:line="500" w:lineRule="exact"/>
        <w:jc w:val="center"/>
        <w:rPr>
          <w:rFonts w:hint="eastAsia" w:ascii="华文中宋" w:hAnsi="华文中宋" w:eastAsia="华文中宋" w:cs="宋体"/>
          <w:sz w:val="36"/>
          <w:szCs w:val="36"/>
        </w:rPr>
      </w:pPr>
      <w:bookmarkStart w:id="0" w:name="_GoBack"/>
      <w:r>
        <w:rPr>
          <w:rFonts w:hint="eastAsia" w:ascii="华文中宋" w:hAnsi="华文中宋" w:eastAsia="华文中宋" w:cs="宋体"/>
          <w:sz w:val="36"/>
          <w:szCs w:val="36"/>
        </w:rPr>
        <w:t>建筑消防设施排查整治情况统计表</w:t>
      </w:r>
      <w:bookmarkEnd w:id="0"/>
    </w:p>
    <w:p>
      <w:pPr>
        <w:adjustRightInd w:val="0"/>
        <w:snapToGrid w:val="0"/>
        <w:spacing w:line="500" w:lineRule="exact"/>
        <w:jc w:val="center"/>
        <w:rPr>
          <w:rFonts w:hint="eastAsia" w:ascii="华文中宋" w:hAnsi="华文中宋" w:eastAsia="华文中宋"/>
          <w:sz w:val="36"/>
          <w:szCs w:val="36"/>
        </w:rPr>
      </w:pPr>
    </w:p>
    <w:p>
      <w:pPr>
        <w:adjustRightInd w:val="0"/>
        <w:snapToGrid w:val="0"/>
        <w:spacing w:line="620" w:lineRule="exact"/>
        <w:rPr>
          <w:rFonts w:hint="eastAsia" w:ascii="仿宋_GB2312" w:hAnsi="华文中宋" w:eastAsia="仿宋_GB2312" w:cs="仿宋_GB2312"/>
          <w:sz w:val="32"/>
          <w:szCs w:val="32"/>
        </w:rPr>
      </w:pPr>
      <w:r>
        <w:rPr>
          <w:rFonts w:hint="eastAsia" w:ascii="仿宋_GB2312" w:hAnsi="华文中宋" w:eastAsia="仿宋_GB2312" w:cs="仿宋_GB2312"/>
          <w:sz w:val="32"/>
          <w:szCs w:val="32"/>
        </w:rPr>
        <w:t>填报单位：</w:t>
      </w:r>
      <w:r>
        <w:rPr>
          <w:rFonts w:hint="eastAsia" w:ascii="仿宋_GB2312" w:hAnsi="华文中宋" w:eastAsia="仿宋_GB2312" w:cs="仿宋_GB2312"/>
          <w:sz w:val="32"/>
          <w:szCs w:val="32"/>
          <w:u w:val="single"/>
        </w:rPr>
        <w:t xml:space="preserve">          </w:t>
      </w:r>
      <w:r>
        <w:rPr>
          <w:rFonts w:hint="eastAsia" w:ascii="仿宋_GB2312" w:hAnsi="华文中宋" w:eastAsia="仿宋_GB2312" w:cs="仿宋_GB2312"/>
          <w:sz w:val="32"/>
          <w:szCs w:val="32"/>
        </w:rPr>
        <w:t xml:space="preserve">    </w:t>
      </w:r>
    </w:p>
    <w:tbl>
      <w:tblPr>
        <w:tblStyle w:val="8"/>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5"/>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b/>
                <w:sz w:val="32"/>
                <w:szCs w:val="32"/>
              </w:rPr>
            </w:pPr>
            <w:r>
              <w:rPr>
                <w:rFonts w:hint="eastAsia" w:ascii="仿宋_GB2312" w:hAnsi="华文中宋" w:eastAsia="仿宋_GB2312" w:cs="仿宋_GB2312"/>
                <w:b/>
                <w:sz w:val="32"/>
                <w:szCs w:val="32"/>
              </w:rPr>
              <w:t>检查单位（家）</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发现火灾隐患或违法行为（处）</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督促整改火灾隐患或违法行为（处）</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解决建筑自动消防设施关闭问题（起）</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解决建筑自动消防设施瘫痪问题（起）</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下发责令改正通知（份）</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下发行政强制决定书（份）</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实施临时查封（起）</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责令三停单位（家）</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罚款（万元）</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48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仿宋_GB2312" w:hAnsi="华文中宋" w:eastAsia="仿宋_GB2312"/>
                <w:sz w:val="32"/>
                <w:szCs w:val="32"/>
              </w:rPr>
            </w:pPr>
            <w:r>
              <w:rPr>
                <w:rFonts w:hint="eastAsia" w:ascii="仿宋_GB2312" w:hAnsi="华文中宋" w:eastAsia="仿宋_GB2312" w:cs="仿宋_GB2312"/>
                <w:sz w:val="32"/>
                <w:szCs w:val="32"/>
              </w:rPr>
              <w:t>拘留（人）</w:t>
            </w:r>
          </w:p>
        </w:tc>
        <w:tc>
          <w:tcPr>
            <w:tcW w:w="4368" w:type="dxa"/>
            <w:tcBorders>
              <w:top w:val="single" w:color="auto" w:sz="4" w:space="0"/>
              <w:left w:val="single" w:color="auto" w:sz="4" w:space="0"/>
              <w:bottom w:val="single" w:color="auto" w:sz="4" w:space="0"/>
              <w:right w:val="single" w:color="auto" w:sz="4" w:space="0"/>
            </w:tcBorders>
            <w:vAlign w:val="top"/>
          </w:tcPr>
          <w:p>
            <w:pPr>
              <w:spacing w:line="460" w:lineRule="exact"/>
              <w:rPr>
                <w:rFonts w:hint="eastAsia" w:ascii="仿宋_GB2312" w:hAnsi="华文中宋" w:eastAsia="仿宋_GB2312"/>
                <w:sz w:val="32"/>
                <w:szCs w:val="32"/>
              </w:rPr>
            </w:pPr>
          </w:p>
        </w:tc>
      </w:tr>
    </w:tbl>
    <w:p>
      <w:pPr>
        <w:spacing w:line="620" w:lineRule="exact"/>
        <w:rPr>
          <w:rFonts w:hint="eastAsia" w:ascii="仿宋_GB2312" w:hAnsi="华文中宋" w:eastAsia="仿宋_GB2312"/>
          <w:b/>
          <w:bCs/>
          <w:sz w:val="32"/>
          <w:szCs w:val="32"/>
        </w:rPr>
        <w:sectPr>
          <w:headerReference r:id="rId3" w:type="default"/>
          <w:footerReference r:id="rId4" w:type="default"/>
          <w:footerReference r:id="rId5" w:type="even"/>
          <w:pgSz w:w="11906" w:h="16838"/>
          <w:pgMar w:top="1440" w:right="1474" w:bottom="1440" w:left="1474" w:header="851" w:footer="992" w:gutter="0"/>
          <w:pgNumType w:fmt="numberInDash"/>
          <w:cols w:space="425" w:num="1"/>
          <w:titlePg/>
          <w:docGrid w:linePitch="312" w:charSpace="0"/>
        </w:sectPr>
      </w:pPr>
      <w:r>
        <w:rPr>
          <w:rFonts w:hint="eastAsia" w:ascii="仿宋_GB2312" w:hAnsi="华文中宋" w:eastAsia="仿宋_GB2312" w:cs="仿宋_GB2312"/>
          <w:sz w:val="32"/>
          <w:szCs w:val="32"/>
        </w:rPr>
        <w:t>填报人：</w:t>
      </w:r>
      <w:r>
        <w:rPr>
          <w:rFonts w:hint="eastAsia" w:ascii="仿宋_GB2312" w:hAnsi="华文中宋" w:eastAsia="仿宋_GB2312" w:cs="仿宋_GB2312"/>
          <w:sz w:val="32"/>
          <w:szCs w:val="32"/>
          <w:u w:val="single"/>
        </w:rPr>
        <w:t xml:space="preserve">           </w:t>
      </w:r>
      <w:r>
        <w:rPr>
          <w:rFonts w:hint="eastAsia" w:ascii="仿宋_GB2312" w:hAnsi="华文中宋" w:eastAsia="仿宋_GB2312" w:cs="仿宋_GB2312"/>
          <w:sz w:val="32"/>
          <w:szCs w:val="32"/>
        </w:rPr>
        <w:t xml:space="preserve">                 填报日期：</w:t>
      </w:r>
      <w:r>
        <w:rPr>
          <w:rFonts w:hint="eastAsia" w:ascii="仿宋_GB2312" w:hAnsi="华文中宋" w:eastAsia="仿宋_GB2312" w:cs="仿宋_GB2312"/>
          <w:sz w:val="32"/>
          <w:szCs w:val="32"/>
          <w:u w:val="single"/>
        </w:rPr>
        <w:t xml:space="preserve">        </w:t>
      </w:r>
    </w:p>
    <w:p/>
    <w:sectPr>
      <w:pgSz w:w="16838" w:h="11906" w:orient="landscape"/>
      <w:pgMar w:top="1440" w:right="1474" w:bottom="1440" w:left="1474"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- 7 -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D4D49"/>
    <w:rsid w:val="474D4D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 Char Char Char Char Char Char Char Char Char Char Char Char Char Char Char Char Char Char Char Char Char Char Char Char Char Char Char Char Char Char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2018-10-17T01:54:00Z</dcterms:created>
  <dc:creator>新时代好姑娘</dc:creator>
  <cp:lastModifiedBy>新时代好姑娘</cp:lastModifiedBy>
  <dcterms:modified xsi:type="dcterms:W3CDTF">2018-10-17T01:55:08Z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