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附件4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电力行业氮氧化物减排项目</w:t>
      </w:r>
    </w:p>
    <w:bookmarkEnd w:id="0"/>
    <w:tbl>
      <w:tblPr>
        <w:tblStyle w:val="3"/>
        <w:tblW w:w="1387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080"/>
        <w:gridCol w:w="2700"/>
        <w:gridCol w:w="1260"/>
        <w:gridCol w:w="1440"/>
        <w:gridCol w:w="1800"/>
        <w:gridCol w:w="3420"/>
        <w:gridCol w:w="14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辖区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电厂名称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机组编号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装机容量(MW)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脱硝工艺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减排措施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责任单位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1#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LNB+SCR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正常稳定运行脱硝设施，NOx达标排放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2#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LNB+SCR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正常稳定运行脱硝设施，NOx达标排放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3#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LNB+SCR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正常稳定运行脱硝设施，NOx达标排放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厦门华夏国际电力发展有限公司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4#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LNB+SCR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正常稳定运行脱硝设施，NOx达标排放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腾龙特种树脂（厦门）有限公司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1#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必要时实施低氮燃烧改造或建设脱硝设施，确保NOx达标排放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厦门新阳热电有限公司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1#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必要时实施低氮燃烧改造或建设脱硝设施，确保NOx达标排放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海沧区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厦门新阳热电有限公司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2#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　</w:t>
            </w:r>
            <w:r>
              <w:rPr>
                <w:rFonts w:hint="eastAsia" w:ascii="仿宋_GB2312" w:hAnsi="新宋体" w:eastAsia="新宋体"/>
                <w:sz w:val="22"/>
                <w:szCs w:val="22"/>
              </w:rPr>
              <w:t>∕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必要时实施低氮燃烧改造或建设脱硝设施，确保NOx达标排放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szCs w:val="22"/>
              </w:rPr>
              <w:t>环保分局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B56C6A"/>
    <w:rsid w:val="65B56C6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2018-10-12T08:19:00Z</dcterms:created>
  <dc:creator>映日</dc:creator>
  <cp:lastModifiedBy>映日</cp:lastModifiedBy>
  <dcterms:modified xsi:type="dcterms:W3CDTF">2018-10-12T08:19:28Z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