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Arial"/>
          <w:kern w:val="0"/>
          <w:sz w:val="44"/>
          <w:szCs w:val="44"/>
        </w:rPr>
        <w:t>玻璃炉窑脱硫脱硝减排项目</w:t>
      </w:r>
    </w:p>
    <w:bookmarkEnd w:id="0"/>
    <w:tbl>
      <w:tblPr>
        <w:tblStyle w:val="3"/>
        <w:tblW w:w="138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76"/>
        <w:gridCol w:w="2081"/>
        <w:gridCol w:w="900"/>
        <w:gridCol w:w="1080"/>
        <w:gridCol w:w="1080"/>
        <w:gridCol w:w="2520"/>
        <w:gridCol w:w="888"/>
        <w:gridCol w:w="1019"/>
        <w:gridCol w:w="1333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辖区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生产线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脱硝任务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脱硫任务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预计SO2削减量（吨）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预计NOx削减量（吨）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综合脱硝效率（%）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措施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综合脱硫效率（%）</w:t>
            </w: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明达玻璃有限公司海沧厂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1#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LNB+SCR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完善脱硫中控系统，加强管理，正常稳定运行脱硫设施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D4A90"/>
    <w:rsid w:val="02CD4A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2018-10-12T08:19:00Z</dcterms:created>
  <dc:creator>映日</dc:creator>
  <cp:lastModifiedBy>映日</cp:lastModifiedBy>
  <dcterms:modified xsi:type="dcterms:W3CDTF">2018-10-12T08:19:49Z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