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附件7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/>
          <w:sz w:val="44"/>
          <w:szCs w:val="44"/>
        </w:rPr>
        <w:t>原有污水处理厂提高负荷率减排项目</w:t>
      </w:r>
    </w:p>
    <w:bookmarkEnd w:id="0"/>
    <w:tbl>
      <w:tblPr>
        <w:tblStyle w:val="3"/>
        <w:tblW w:w="138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00"/>
        <w:gridCol w:w="1980"/>
        <w:gridCol w:w="1620"/>
        <w:gridCol w:w="2880"/>
        <w:gridCol w:w="1980"/>
        <w:gridCol w:w="198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辖区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污水处理厂名称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设计处理能力（万吨/日）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要求2014年达到的负荷率(%)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预计新增COD削减量(吨)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预计新增NH3N削减量(吨)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海沧污水处理厂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5.0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建设局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76337"/>
    <w:rsid w:val="281763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2018-10-12T08:20:00Z</dcterms:created>
  <dc:creator>映日</dc:creator>
  <cp:lastModifiedBy>映日</cp:lastModifiedBy>
  <dcterms:modified xsi:type="dcterms:W3CDTF">2018-10-12T08:20:40Z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