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</w:p>
    <w:tbl>
      <w:tblPr>
        <w:tblpPr w:leftFromText="180" w:rightFromText="180" w:vertAnchor="page" w:horzAnchor="page" w:tblpX="1022" w:tblpY="2119"/>
        <w:tblOverlap w:val="never"/>
        <w:tblW w:w="104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u w:val="single" w:color="auto"/>
                      <w:lang w:val="en-US" w:eastAsia="zh-CN"/>
                    </w:rPr>
                    <w:t xml:space="preserve">2022年商贸企业限下转限上（首次入统）奖励金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伍万元整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</w:t>
      </w:r>
      <w:r>
        <w:rPr>
          <w:rFonts w:hint="eastAsia" w:ascii="仿宋" w:hAnsi="仿宋" w:eastAsia="仿宋" w:cs="仿宋"/>
          <w:color w:val="auto"/>
          <w:lang w:val="en-US" w:eastAsia="zh-CN"/>
        </w:rPr>
        <w:t>收据上的日期请先不要填写！</w:t>
      </w: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赖洁琦</cp:lastModifiedBy>
  <cp:lastPrinted>2022-06-02T01:11:00Z</cp:lastPrinted>
  <dcterms:modified xsi:type="dcterms:W3CDTF">2023-02-14T08:31:36Z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