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934" w:rightChars="4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附件1.2：</w:t>
      </w:r>
    </w:p>
    <w:p>
      <w:pPr>
        <w:spacing w:line="580" w:lineRule="exact"/>
        <w:ind w:right="934" w:rightChars="445"/>
        <w:jc w:val="left"/>
        <w:rPr>
          <w:rFonts w:ascii="仿宋_GB2312" w:hAnsi="仿宋_GB2312" w:eastAsia="仿宋_GB2312" w:cs="仿宋_GB2312"/>
          <w:sz w:val="32"/>
          <w:szCs w:val="32"/>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申报2023年度生物医药行业高级工程师</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材料及要求</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一、申报要求</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w:t>
      </w:r>
      <w:r>
        <w:fldChar w:fldCharType="begin"/>
      </w:r>
      <w:r>
        <w:instrText xml:space="preserve"> HYPERLINK "http://www.xmzcps.com/JSEWeb/app_web/Declare/DeclareInfoPrintDocumentFind.aspx?AutoFind=1&amp;SourceRedirectPage=/JSEWeb/app_web/Declare/javascript:__doPostBack('GVList$ctl02$DocumentName','')" </w:instrText>
      </w:r>
      <w:r>
        <w:fldChar w:fldCharType="separate"/>
      </w:r>
      <w:r>
        <w:rPr>
          <w:rFonts w:hint="eastAsia" w:ascii="仿宋_GB2312" w:hAnsi="仿宋_GB2312" w:eastAsia="仿宋_GB2312" w:cs="仿宋_GB2312"/>
          <w:sz w:val="32"/>
          <w:szCs w:val="32"/>
        </w:rPr>
        <w:t>《专业技术职务任职资格评审表》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中。对提交的复印件须与原件核对，逐项签署核对人姓名和审查意见，并加盖单位公章。申报材料经申报单位公示并确认提交后，即不可修改。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才申报专业和业绩须与申报职业（工种）专业相同或相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破格申报者，应符合</w:t>
      </w:r>
      <w:r>
        <w:rPr>
          <w:rFonts w:hint="eastAsia" w:ascii="仿宋_GB2312" w:hAnsi="仿宋_GB2312" w:eastAsia="仿宋_GB2312" w:cs="仿宋_GB2312"/>
          <w:sz w:val="32"/>
          <w:szCs w:val="32"/>
        </w:rPr>
        <w:t>《福建省工程系列职称评审条件》（闽工信职改〔2023〕19号）文件</w:t>
      </w:r>
      <w:r>
        <w:rPr>
          <w:rFonts w:ascii="仿宋_GB2312" w:hAnsi="仿宋_GB2312" w:eastAsia="仿宋_GB2312" w:cs="仿宋_GB2312"/>
          <w:sz w:val="32"/>
          <w:szCs w:val="32"/>
        </w:rPr>
        <w:t>规定的申报条件，并按学历或资历破格的不同申报要求提供相关证明、材料（应提供原件），同时在《简明表》备注栏中注明符合文件的哪条破格申报条款</w:t>
      </w:r>
      <w:r>
        <w:rPr>
          <w:rFonts w:hint="eastAsia" w:ascii="仿宋_GB2312" w:hAnsi="仿宋_GB2312" w:eastAsia="仿宋_GB2312" w:cs="仿宋_GB2312"/>
          <w:sz w:val="32"/>
          <w:szCs w:val="32"/>
        </w:rPr>
        <w:t>。</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（四）同一理论、业绩成果在同一年度申报评审时不得重复使用。</w:t>
      </w:r>
      <w:r>
        <w:rPr>
          <w:rFonts w:ascii="仿宋_GB2312" w:hAnsi="仿宋_GB2312" w:eastAsia="仿宋_GB2312" w:cs="仿宋_GB2312"/>
          <w:kern w:val="2"/>
          <w:sz w:val="32"/>
          <w:szCs w:val="32"/>
        </w:rPr>
        <w:t>曾被否决的再次申报者，应补充新的业绩、论文材料，未补充新业绩、论文材料的不予受理。其中，在往年评审中论文被鉴定为“涉嫌抄袭”或业绩造假的申报者，于次年起2年后方可申报。</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w:t>
      </w:r>
      <w:r>
        <w:rPr>
          <w:rFonts w:ascii="仿宋_GB2312" w:hAnsi="仿宋_GB2312" w:eastAsia="仿宋_GB2312" w:cs="仿宋_GB2312"/>
          <w:kern w:val="2"/>
          <w:sz w:val="32"/>
          <w:szCs w:val="32"/>
        </w:rPr>
        <w:t>在申报过程中弄虚作假、徇私舞弊者，一经举报查实，取消其申报资格，2年内不得申报。已评审确认任职资格的，按照有关规定撤销其任职资格，并追究相关人员的责任。</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二、申报材料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申报材料统一用牛皮纸档案袋报送，档案袋上加贴《申报2023年度生物医药行业高级工程师材料清单》（附件2.2）。</w:t>
      </w:r>
    </w:p>
    <w:p>
      <w:pPr>
        <w:pStyle w:val="6"/>
        <w:spacing w:beforeAutospacing="0" w:afterAutospacing="0" w:line="580" w:lineRule="exact"/>
        <w:ind w:firstLine="640" w:firstLineChars="200"/>
        <w:rPr>
          <w:rFonts w:ascii="楷体" w:hAnsi="楷体" w:eastAsia="楷体" w:cs="楷体"/>
          <w:kern w:val="2"/>
          <w:sz w:val="32"/>
          <w:szCs w:val="32"/>
        </w:rPr>
      </w:pPr>
      <w:r>
        <w:rPr>
          <w:rFonts w:hint="eastAsia" w:ascii="楷体" w:hAnsi="楷体" w:eastAsia="楷体" w:cs="楷体"/>
          <w:kern w:val="2"/>
          <w:sz w:val="32"/>
          <w:szCs w:val="32"/>
        </w:rPr>
        <w:t>（一）表格</w:t>
      </w:r>
    </w:p>
    <w:p>
      <w:pPr>
        <w:pStyle w:val="6"/>
        <w:numPr>
          <w:ilvl w:val="255"/>
          <w:numId w:val="0"/>
        </w:numPr>
        <w:spacing w:beforeAutospacing="0" w:afterAutospacing="0" w:line="580" w:lineRule="exact"/>
        <w:ind w:firstLine="480" w:firstLineChars="200"/>
        <w:rPr>
          <w:rFonts w:ascii="仿宋_GB2312" w:hAnsi="仿宋_GB2312" w:eastAsia="仿宋_GB2312" w:cs="仿宋_GB2312"/>
          <w:kern w:val="2"/>
          <w:sz w:val="32"/>
          <w:szCs w:val="32"/>
        </w:rPr>
      </w:pPr>
      <w:r>
        <w:fldChar w:fldCharType="begin"/>
      </w:r>
      <w:r>
        <w:instrText xml:space="preserve"> HYPERLINK "http://www.xmzcps.com/JSEWeb/app_web/Declare/DeclareInfoPrintDocumentFind.aspx?AutoFind=1&amp;SourceRedirectPage=/JSEWeb/app_web/Declare/javascript:__doPostBack('GVList$ctl02$DocumentName','')" </w:instrText>
      </w:r>
      <w:r>
        <w:fldChar w:fldCharType="separate"/>
      </w:r>
      <w:r>
        <w:rPr>
          <w:rFonts w:hint="eastAsia" w:ascii="仿宋_GB2312" w:hAnsi="仿宋_GB2312" w:eastAsia="仿宋_GB2312" w:cs="仿宋_GB2312"/>
          <w:kern w:val="2"/>
          <w:sz w:val="32"/>
          <w:szCs w:val="32"/>
        </w:rPr>
        <w:t>《专业技术职务任职资格评审表》</w:t>
      </w:r>
      <w:r>
        <w:rPr>
          <w:rFonts w:hint="eastAsia" w:ascii="仿宋_GB2312" w:hAnsi="仿宋_GB2312" w:eastAsia="仿宋_GB2312" w:cs="仿宋_GB2312"/>
          <w:kern w:val="2"/>
          <w:sz w:val="32"/>
          <w:szCs w:val="32"/>
        </w:rPr>
        <w:fldChar w:fldCharType="end"/>
      </w:r>
      <w:r>
        <w:rPr>
          <w:rFonts w:hint="eastAsia" w:ascii="仿宋_GB2312" w:hAnsi="仿宋_GB2312" w:eastAsia="仿宋_GB2312" w:cs="仿宋_GB2312"/>
          <w:kern w:val="2"/>
          <w:sz w:val="32"/>
          <w:szCs w:val="32"/>
        </w:rPr>
        <w:t>（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1.《评审表》一式2份（A4纸打印）。</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（1）主管部门意见。《评审表》中“主管部门意见”栏须经具有档案管理权限的档案管理部门审核盖章，或出具档案存放证明（档案存放证明一式2份，A4纸彩色打印，装订在《评审表》最后一页）。</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①人事档案关系不在厦门市管理的专业技术人员，与我市用人单位签有正式聘用合同或劳动合同，并参加我市社会保险一年以上，可通过现工作单位，按规定程序申报职称。</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③人事档案在具有工程专业技术职称评审职能的档案管理机构（人才服务机构）的工程技术人员，应在该机构参加职称评审。</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年度及任职期满考核结果。非公有制经济组织专业技术人员“年度及任期考核结果”可使用“年度及任职期满考核结果模板”（附件3），须每一年度分开考核，一式2份（A4纸打印），均须原章原印、复印件无效；</w:t>
      </w:r>
      <w:r>
        <w:rPr>
          <w:rFonts w:hint="eastAsia" w:ascii="仿宋_GB2312" w:hAnsi="仿宋_GB2312" w:eastAsia="仿宋_GB2312" w:cs="仿宋_GB2312"/>
          <w:b/>
          <w:bCs/>
          <w:kern w:val="2"/>
          <w:sz w:val="32"/>
          <w:szCs w:val="32"/>
        </w:rPr>
        <w:t>国有企业</w:t>
      </w:r>
      <w:r>
        <w:rPr>
          <w:rFonts w:hint="eastAsia" w:ascii="仿宋_GB2312" w:hAnsi="仿宋_GB2312" w:eastAsia="仿宋_GB2312" w:cs="仿宋_GB2312"/>
          <w:b/>
          <w:bCs/>
          <w:sz w:val="32"/>
          <w:szCs w:val="32"/>
        </w:rPr>
        <w:t>须提交</w:t>
      </w:r>
      <w:r>
        <w:rPr>
          <w:rFonts w:hint="eastAsia" w:ascii="仿宋_GB2312" w:hAnsi="仿宋_GB2312" w:eastAsia="仿宋_GB2312" w:cs="仿宋_GB2312"/>
          <w:b/>
          <w:bCs/>
          <w:kern w:val="2"/>
          <w:sz w:val="32"/>
          <w:szCs w:val="32"/>
        </w:rPr>
        <w:t>原先放入档案中的年度考核表复印件并加盖单</w:t>
      </w:r>
      <w:r>
        <w:rPr>
          <w:rFonts w:hint="eastAsia" w:ascii="仿宋_GB2312" w:hAnsi="仿宋_GB2312" w:eastAsia="仿宋_GB2312" w:cs="仿宋_GB2312"/>
          <w:kern w:val="2"/>
          <w:sz w:val="32"/>
          <w:szCs w:val="32"/>
        </w:rPr>
        <w:t>位公章。任职期间工作单位有变动，应由任职期间所在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2.《简明</w:t>
      </w:r>
      <w:r>
        <w:rPr>
          <w:rFonts w:hint="eastAsia" w:ascii="仿宋_GB2312" w:hAnsi="仿宋_GB2312" w:eastAsia="仿宋_GB2312" w:cs="仿宋_GB2312"/>
          <w:color w:val="000000" w:themeColor="text1"/>
          <w:kern w:val="2"/>
          <w:sz w:val="32"/>
          <w:szCs w:val="32"/>
        </w:rPr>
        <w:t>表》一式4份</w:t>
      </w:r>
      <w:r>
        <w:rPr>
          <w:rFonts w:hint="eastAsia" w:ascii="仿宋_GB2312" w:hAnsi="仿宋_GB2312" w:eastAsia="仿宋_GB2312" w:cs="仿宋_GB2312"/>
          <w:kern w:val="2"/>
          <w:sz w:val="32"/>
          <w:szCs w:val="32"/>
        </w:rPr>
        <w:t>（A3纸打印）。</w:t>
      </w:r>
    </w:p>
    <w:p>
      <w:pPr>
        <w:pStyle w:val="6"/>
        <w:numPr>
          <w:ilvl w:val="255"/>
          <w:numId w:val="0"/>
        </w:numPr>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（二）申报所需资格证书、注册证书、专利证书、奖状等证书材料均需核对原件，交复印件。</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1.身份证复印件（正反面）3份。其中一份右上角贴2寸证件彩照一张。</w:t>
      </w:r>
    </w:p>
    <w:p>
      <w:pPr>
        <w:pStyle w:val="6"/>
        <w:numPr>
          <w:ilvl w:val="255"/>
          <w:numId w:val="0"/>
        </w:numPr>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2.专业技术职务任职资格证书需核对原件，交复印件。</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（1）已办理省外调入确认的人员申报高级工程师时，须提供省外证书、本市确认证书或确认表。</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非本市取得的中级专业技术职务资格需提供《评审表》(异地中级专业技术职务任职资格证书应提交与证书相吻合的社保证明、人事档案转迁证明且工程师证颁发时间必须早于档案转入厦门时间，颁发地必须与档案迁出地一致，以上材料不一致的不予受理）。</w:t>
      </w:r>
    </w:p>
    <w:p>
      <w:pPr>
        <w:pStyle w:val="6"/>
        <w:spacing w:before="0" w:beforeAutospacing="0" w:after="0" w:afterAutospacing="0" w:line="48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3.学历、学位证书原件及复印件1份（凡在教育部学信网能正常查询到学历、学位证书信息的专业技术人员，在申报职称时，可不提供学历、学位证书原件和复印件，但须提供学历、学位证</w:t>
      </w:r>
      <w:r>
        <w:rPr>
          <w:rFonts w:hint="eastAsia" w:ascii="仿宋_GB2312" w:hAnsi="仿宋_GB2312" w:eastAsia="仿宋_GB2312" w:cs="仿宋_GB2312"/>
          <w:kern w:val="2"/>
          <w:sz w:val="32"/>
          <w:szCs w:val="32"/>
        </w:rPr>
        <w:t>书编号。在职学习</w:t>
      </w:r>
      <w:r>
        <w:rPr>
          <w:rFonts w:hint="eastAsia" w:ascii="仿宋_GB2312" w:hAnsi="仿宋_GB2312" w:eastAsia="仿宋_GB2312" w:cs="仿宋_GB2312"/>
          <w:color w:val="000000" w:themeColor="text1"/>
          <w:kern w:val="2"/>
          <w:sz w:val="32"/>
          <w:szCs w:val="32"/>
        </w:rPr>
        <w:t>取得本科以上学历的，须提供各前置学历证书并在相关表格中注明）。在国（境）外取得的学历或学位，应提供教育部出具的认证证明。</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p>
    <w:p>
      <w:pPr>
        <w:pStyle w:val="6"/>
        <w:spacing w:beforeAutospacing="0" w:afterAutospacing="0" w:line="580" w:lineRule="exact"/>
        <w:ind w:firstLine="640" w:firstLineChars="200"/>
        <w:rPr>
          <w:rFonts w:ascii="仿宋_GB2312" w:hAnsi="仿宋_GB2312" w:eastAsia="仿宋_GB2312" w:cs="仿宋_GB2312"/>
          <w:kern w:val="2"/>
          <w:sz w:val="32"/>
          <w:szCs w:val="32"/>
          <w:highlight w:val="none"/>
        </w:rPr>
      </w:pPr>
      <w:r>
        <w:rPr>
          <w:rFonts w:ascii="仿宋_GB2312" w:hAnsi="仿宋_GB2312" w:eastAsia="仿宋_GB2312" w:cs="仿宋_GB2312"/>
          <w:kern w:val="2"/>
          <w:sz w:val="32"/>
          <w:szCs w:val="32"/>
          <w:highlight w:val="none"/>
        </w:rPr>
        <w:t>4.</w:t>
      </w:r>
      <w:r>
        <w:rPr>
          <w:rFonts w:hint="eastAsia" w:ascii="仿宋_GB2312" w:hAnsi="Calibri" w:eastAsia="仿宋_GB2312" w:cs="Calibri"/>
          <w:color w:val="000000" w:themeColor="text1"/>
          <w:kern w:val="2"/>
          <w:sz w:val="32"/>
          <w:szCs w:val="32"/>
          <w:highlight w:val="none"/>
        </w:rPr>
        <w:t>继续教育证明</w:t>
      </w:r>
      <w:bookmarkStart w:id="1" w:name="_GoBack"/>
      <w:bookmarkEnd w:id="1"/>
      <w:r>
        <w:rPr>
          <w:rFonts w:hint="eastAsia" w:ascii="仿宋_GB2312" w:hAnsi="Calibri" w:eastAsia="仿宋_GB2312" w:cs="Calibri"/>
          <w:color w:val="000000" w:themeColor="text1"/>
          <w:kern w:val="2"/>
          <w:sz w:val="32"/>
          <w:szCs w:val="32"/>
          <w:highlight w:val="none"/>
        </w:rPr>
        <w:t>：提供参加与岗位有关的学习、培训、专业技术交流等的证明材料（总学时列表汇总，且按年度分别列表汇总并附证明材料）；也可以提供</w:t>
      </w:r>
      <w:r>
        <w:rPr>
          <w:rFonts w:hint="eastAsia" w:ascii="仿宋_GB2312" w:hAnsi="仿宋_GB2312" w:eastAsia="仿宋_GB2312" w:cs="仿宋_GB2312"/>
          <w:color w:val="000000" w:themeColor="text1"/>
          <w:kern w:val="2"/>
          <w:sz w:val="32"/>
          <w:szCs w:val="32"/>
          <w:highlight w:val="none"/>
        </w:rPr>
        <w:t>《厦门市专业技术人员继续教育证明》（学时须经市人社局职建处验证，咨询电话：</w:t>
      </w:r>
      <w:r>
        <w:rPr>
          <w:rFonts w:ascii="仿宋_GB2312" w:hAnsi="仿宋_GB2312" w:eastAsia="仿宋_GB2312" w:cs="仿宋_GB2312"/>
          <w:color w:val="000000" w:themeColor="text1"/>
          <w:kern w:val="2"/>
          <w:sz w:val="32"/>
          <w:szCs w:val="32"/>
          <w:highlight w:val="none"/>
        </w:rPr>
        <w:t>12333；或登录“厦门市人力资源和社会保障局-网上办事-个人办事-技能培训”彩色打印“厦门市专业技术人员继续教育证明”）</w:t>
      </w:r>
      <w:r>
        <w:rPr>
          <w:rFonts w:hint="eastAsia" w:ascii="仿宋_GB2312" w:hAnsi="仿宋_GB2312" w:eastAsia="仿宋_GB2312" w:cs="仿宋_GB2312"/>
          <w:kern w:val="2"/>
          <w:sz w:val="32"/>
          <w:szCs w:val="32"/>
          <w:highlight w:val="none"/>
        </w:rPr>
        <w:t>。</w:t>
      </w:r>
    </w:p>
    <w:p>
      <w:pPr>
        <w:spacing w:line="580" w:lineRule="exact"/>
        <w:ind w:firstLine="642" w:firstLineChars="200"/>
        <w:rPr>
          <w:rFonts w:ascii="楷体" w:hAnsi="楷体" w:eastAsia="楷体" w:cs="楷体"/>
          <w:sz w:val="32"/>
          <w:szCs w:val="32"/>
        </w:rPr>
      </w:pPr>
      <w:r>
        <w:rPr>
          <w:rFonts w:hint="eastAsia" w:ascii="楷体" w:hAnsi="楷体" w:eastAsia="楷体" w:cs="楷体"/>
          <w:b/>
          <w:sz w:val="32"/>
          <w:szCs w:val="32"/>
        </w:rPr>
        <w:t>（三）任职材料</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1.社保材料。社保缴交年限须与资历年限一致，社保缴交单位须与实际工作经历一致，补交社会保险费的时间不计算任职年限。证明年限依学历资历要求而定。</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（1）在本地缴交社会保险费人员的缴交信息由收件部门统一查询，若查询不到的须自行提供社会保险机构出具的缴交证明。</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（2）在厦门缴交社保不满足证明年限的，需提交外地社会劳动保险机构出具的缴交社保证明。</w:t>
      </w:r>
    </w:p>
    <w:p>
      <w:pPr>
        <w:pStyle w:val="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2.业绩材料。提交任现职以来符合《福建省工程系列职称评审条件》（闽工信职改〔</w:t>
      </w:r>
      <w:r>
        <w:rPr>
          <w:rFonts w:ascii="仿宋_GB2312" w:hAnsi="仿宋_GB2312" w:eastAsia="仿宋_GB2312" w:cs="仿宋_GB2312"/>
          <w:kern w:val="2"/>
          <w:sz w:val="32"/>
          <w:szCs w:val="32"/>
        </w:rPr>
        <w:t>2023〕19号）的</w:t>
      </w:r>
      <w:r>
        <w:rPr>
          <w:rFonts w:hint="eastAsia" w:ascii="仿宋_GB2312" w:hAnsi="仿宋_GB2312" w:eastAsia="仿宋_GB2312" w:cs="仿宋_GB2312"/>
          <w:kern w:val="2"/>
          <w:sz w:val="32"/>
          <w:szCs w:val="32"/>
        </w:rPr>
        <w:t>下列业绩成果之一（复印件</w:t>
      </w:r>
      <w:r>
        <w:rPr>
          <w:rFonts w:ascii="仿宋_GB2312" w:hAnsi="仿宋_GB2312" w:eastAsia="仿宋_GB2312" w:cs="仿宋_GB2312"/>
          <w:kern w:val="2"/>
          <w:sz w:val="32"/>
          <w:szCs w:val="32"/>
        </w:rPr>
        <w:t>1份）</w:t>
      </w:r>
      <w:r>
        <w:rPr>
          <w:rFonts w:hint="eastAsia" w:ascii="仿宋_GB2312" w:hAnsi="仿宋_GB2312" w:eastAsia="仿宋_GB2312" w:cs="仿宋_GB2312"/>
          <w:kern w:val="2"/>
          <w:sz w:val="32"/>
          <w:szCs w:val="32"/>
        </w:rPr>
        <w:t>：</w:t>
      </w:r>
    </w:p>
    <w:p>
      <w:pPr>
        <w:pStyle w:val="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①作为技术负责人，参与研发的设备获得“首台</w:t>
      </w:r>
      <w:r>
        <w:rPr>
          <w:rFonts w:ascii="仿宋_GB2312" w:hAnsi="仿宋_GB2312" w:eastAsia="仿宋_GB2312" w:cs="仿宋_GB2312"/>
          <w:kern w:val="2"/>
          <w:sz w:val="32"/>
          <w:szCs w:val="32"/>
        </w:rPr>
        <w:t>(套)重大技术装备”认定;</w:t>
      </w:r>
    </w:p>
    <w:p>
      <w:pPr>
        <w:pStyle w:val="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②作为第一发明人，取得授权发明专利</w:t>
      </w:r>
      <w:r>
        <w:rPr>
          <w:rFonts w:ascii="仿宋_GB2312" w:hAnsi="仿宋_GB2312" w:eastAsia="仿宋_GB2312" w:cs="仿宋_GB2312"/>
          <w:kern w:val="2"/>
          <w:sz w:val="32"/>
          <w:szCs w:val="32"/>
        </w:rPr>
        <w:t>1项，或作为第二发明人，取得本专业授权发明专利2项;</w:t>
      </w:r>
    </w:p>
    <w:p>
      <w:pPr>
        <w:pStyle w:val="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③获得国家或省部级科学技术奖</w:t>
      </w:r>
      <w:r>
        <w:rPr>
          <w:rFonts w:ascii="仿宋_GB2312" w:hAnsi="仿宋_GB2312" w:eastAsia="仿宋_GB2312" w:cs="仿宋_GB2312"/>
          <w:kern w:val="2"/>
          <w:sz w:val="32"/>
          <w:szCs w:val="32"/>
        </w:rPr>
        <w:t>;</w:t>
      </w:r>
    </w:p>
    <w:p>
      <w:pPr>
        <w:pStyle w:val="6"/>
        <w:spacing w:before="0" w:beforeAutospacing="0" w:after="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④参与完成制</w:t>
      </w:r>
      <w:r>
        <w:rPr>
          <w:rFonts w:ascii="仿宋_GB2312" w:hAnsi="仿宋_GB2312" w:eastAsia="仿宋_GB2312" w:cs="仿宋_GB2312"/>
          <w:kern w:val="2"/>
          <w:sz w:val="32"/>
          <w:szCs w:val="32"/>
        </w:rPr>
        <w:t>(修)订标准1项(起草人排名前3);</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⑤作为技术负责人，承担</w:t>
      </w:r>
      <w:r>
        <w:rPr>
          <w:rFonts w:ascii="仿宋_GB2312" w:hAnsi="仿宋_GB2312" w:eastAsia="仿宋_GB2312" w:cs="仿宋_GB2312"/>
          <w:kern w:val="2"/>
          <w:sz w:val="32"/>
          <w:szCs w:val="32"/>
        </w:rPr>
        <w:t>2项</w:t>
      </w:r>
      <w:r>
        <w:rPr>
          <w:rFonts w:hint="eastAsia" w:ascii="仿宋_GB2312" w:hAnsi="仿宋_GB2312" w:eastAsia="仿宋_GB2312" w:cs="仿宋_GB2312"/>
          <w:kern w:val="2"/>
          <w:sz w:val="32"/>
          <w:szCs w:val="32"/>
        </w:rPr>
        <w:t>（可多提供）本专业技术工作。</w:t>
      </w:r>
    </w:p>
    <w:p>
      <w:pPr>
        <w:pStyle w:val="6"/>
        <w:spacing w:beforeAutospacing="0" w:afterAutospacing="0" w:line="58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业绩成果包括但不限于：项目立项文件、项目</w:t>
      </w:r>
      <w:r>
        <w:rPr>
          <w:rFonts w:hint="eastAsia" w:ascii="仿宋_GB2312" w:hAnsi="仿宋_GB2312" w:eastAsia="仿宋_GB2312" w:cs="仿宋_GB2312"/>
          <w:color w:val="000000" w:themeColor="text1"/>
          <w:sz w:val="32"/>
          <w:szCs w:val="32"/>
        </w:rPr>
        <w:t>合同、中标通知书、项目验收合格证明、工作有关的照片、获奖证书、荣誉证书、专利证书、科研课题证书、专著等资料原件的扫描件或者高清照片</w:t>
      </w:r>
      <w:r>
        <w:rPr>
          <w:rFonts w:hint="eastAsia" w:ascii="仿宋_GB2312" w:hAnsi="仿宋_GB2312" w:eastAsia="仿宋_GB2312" w:cs="仿宋_GB2312"/>
          <w:kern w:val="2"/>
          <w:sz w:val="32"/>
          <w:szCs w:val="32"/>
        </w:rPr>
        <w:t>，须清晰显示申报人的名字，统一用A4纸复印，外文部分须提交中文翻译，并按顺序装订成册。其中，应提交2项以上在任职期间担任过本专业的项目或技术负责人的业绩证明材料复印件。须核对所有原件，核对无误后受理。</w:t>
      </w:r>
    </w:p>
    <w:p>
      <w:pPr>
        <w:pStyle w:val="6"/>
        <w:spacing w:beforeAutospacing="0" w:afterAutospacing="0" w:line="580" w:lineRule="exact"/>
        <w:ind w:firstLine="642" w:firstLineChars="200"/>
        <w:rPr>
          <w:rFonts w:ascii="楷体" w:hAnsi="楷体" w:eastAsia="楷体" w:cs="楷体"/>
          <w:b/>
          <w:bCs/>
          <w:kern w:val="2"/>
          <w:sz w:val="32"/>
          <w:szCs w:val="32"/>
        </w:rPr>
      </w:pPr>
      <w:r>
        <w:rPr>
          <w:rFonts w:hint="eastAsia" w:ascii="楷体" w:hAnsi="楷体" w:eastAsia="楷体" w:cs="楷体"/>
          <w:b/>
          <w:bCs/>
          <w:kern w:val="2"/>
          <w:sz w:val="32"/>
          <w:szCs w:val="32"/>
        </w:rPr>
        <w:t>（四）代表作</w:t>
      </w:r>
    </w:p>
    <w:p>
      <w:pPr>
        <w:widowControl/>
        <w:spacing w:line="560" w:lineRule="exact"/>
        <w:ind w:firstLine="4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应提交在正式出版发行的本行业刊物或大学本科学校主办的学术刊物发表独立撰写的学术论文</w:t>
      </w:r>
      <w:r>
        <w:rPr>
          <w:rFonts w:ascii="仿宋_GB2312" w:hAnsi="仿宋_GB2312" w:eastAsia="仿宋_GB2312" w:cs="仿宋_GB2312"/>
          <w:sz w:val="32"/>
          <w:szCs w:val="32"/>
        </w:rPr>
        <w:t>1篇，或作为第一作者在核心期刊发表学术论文1篇</w:t>
      </w:r>
      <w:r>
        <w:rPr>
          <w:rFonts w:hint="eastAsia" w:ascii="仿宋_GB2312" w:hAnsi="仿宋_GB2312" w:eastAsia="仿宋_GB2312" w:cs="仿宋_GB2312"/>
          <w:sz w:val="32"/>
          <w:szCs w:val="32"/>
        </w:rPr>
        <w:t>。（学历破格者，以论文为条件申报须提交</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篇，其中两篇作为代表作），并提供原件。文章内容必须与申报专业及从事的专业技术工作一致。</w:t>
      </w:r>
    </w:p>
    <w:p>
      <w:pPr>
        <w:pStyle w:val="6"/>
        <w:spacing w:before="0" w:beforeAutospacing="0" w:after="0" w:afterAutospacing="0" w:line="480" w:lineRule="exact"/>
        <w:ind w:firstLine="42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凡符合《福建省人民政府办公厅关于进一步深化科技人员职称评价改革的若干意见》</w:t>
      </w:r>
      <w:r>
        <w:rPr>
          <w:rFonts w:ascii="仿宋_GB2312" w:hAnsi="仿宋_GB2312" w:eastAsia="仿宋_GB2312" w:cs="仿宋_GB2312"/>
          <w:kern w:val="2"/>
          <w:sz w:val="32"/>
          <w:szCs w:val="32"/>
        </w:rPr>
        <w:t>(闽政办〔2016</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1号)有关论文替代规定的，可相应替代本评审条件中有关论文要求。参与完成制(修)订本专业标准1项(起草人排名前3)的</w:t>
      </w:r>
      <w:r>
        <w:rPr>
          <w:rFonts w:hint="eastAsia" w:ascii="仿宋_GB2312" w:hAnsi="仿宋_GB2312" w:eastAsia="仿宋_GB2312" w:cs="仿宋_GB2312"/>
          <w:kern w:val="2"/>
          <w:sz w:val="32"/>
          <w:szCs w:val="32"/>
        </w:rPr>
        <w:t>（“标准”指国际标准、国家标准、行业标准、地方标准，其中地方标准不含市级地方标准），可替代</w:t>
      </w:r>
      <w:r>
        <w:rPr>
          <w:rFonts w:ascii="仿宋_GB2312" w:hAnsi="仿宋_GB2312" w:eastAsia="仿宋_GB2312" w:cs="仿宋_GB2312"/>
          <w:kern w:val="2"/>
          <w:sz w:val="32"/>
          <w:szCs w:val="32"/>
        </w:rPr>
        <w:t>1篇论文要求</w:t>
      </w:r>
      <w:r>
        <w:rPr>
          <w:rFonts w:hint="eastAsia" w:ascii="仿宋_GB2312" w:hAnsi="仿宋_GB2312" w:eastAsia="仿宋_GB2312" w:cs="仿宋_GB2312"/>
          <w:kern w:val="2"/>
          <w:sz w:val="32"/>
          <w:szCs w:val="32"/>
        </w:rPr>
        <w:t>。应在代表作栏目中列明符合的条款和替代关系，以项目、奖项、发明专利、标准等替代论文的须提交一篇论文，论文不作发表要求。</w:t>
      </w:r>
    </w:p>
    <w:p>
      <w:pPr>
        <w:pStyle w:val="6"/>
        <w:spacing w:before="0" w:beforeAutospacing="0" w:after="0" w:afterAutospacing="0" w:line="480" w:lineRule="exact"/>
        <w:ind w:firstLine="642" w:firstLineChars="200"/>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1.提交要求</w:t>
      </w:r>
    </w:p>
    <w:p>
      <w:pPr>
        <w:pStyle w:val="6"/>
        <w:spacing w:before="0" w:beforeAutospacing="0" w:after="0" w:afterAutospacing="0" w:line="48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①论文必须是在</w:t>
      </w:r>
      <w:r>
        <w:rPr>
          <w:rFonts w:hint="eastAsia" w:ascii="仿宋_GB2312" w:hAnsi="仿宋_GB2312" w:eastAsia="仿宋_GB2312" w:cs="仿宋_GB2312"/>
          <w:kern w:val="2"/>
          <w:sz w:val="32"/>
          <w:szCs w:val="32"/>
        </w:rPr>
        <w:t>取得</w:t>
      </w:r>
      <w:r>
        <w:rPr>
          <w:rFonts w:ascii="仿宋_GB2312" w:hAnsi="仿宋_GB2312" w:eastAsia="仿宋_GB2312" w:cs="仿宋_GB2312"/>
          <w:kern w:val="2"/>
          <w:sz w:val="32"/>
          <w:szCs w:val="32"/>
        </w:rPr>
        <w:t>工程师资格后，公开发表在本行业刊物或大学本科学校主办的学术刊物（均须有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根据有关“实行学术造假‘一票否决制’”规定，申报人员的送审代表作均应进行文字复制比检测，检测结果将提交评委会。</w:t>
      </w:r>
    </w:p>
    <w:p>
      <w:pPr>
        <w:pStyle w:val="6"/>
        <w:spacing w:before="0" w:beforeAutospacing="0" w:after="0" w:afterAutospacing="0" w:line="48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②</w:t>
      </w:r>
      <w:r>
        <w:rPr>
          <w:rFonts w:hint="eastAsia" w:ascii="仿宋_GB2312" w:hAnsi="仿宋_GB2312" w:eastAsia="仿宋_GB2312" w:cs="仿宋_GB2312"/>
          <w:kern w:val="2"/>
          <w:sz w:val="32"/>
          <w:szCs w:val="32"/>
        </w:rPr>
        <w:t>“本行业刊物”指经国家新闻出版署批准依法设立的期刊，行业类别以《中国图书馆分类法》为准；“核心期刊”指中国科技核心期刊、中国科学引文数据库、中文核心期刊要目总览、科学引文索引、工程索引等收录的期刊。不含增刊、专刊、专辑、副刊、特刊、电子刊、一号多刊、报纸、论文集等。所有的清样稿、论文录用通知（证明）不能作为已发表论文的依据。</w:t>
      </w:r>
    </w:p>
    <w:p>
      <w:pPr>
        <w:pStyle w:val="6"/>
        <w:wordWrap w:val="0"/>
        <w:spacing w:beforeAutospacing="0" w:afterAutospacing="0" w:line="580" w:lineRule="exact"/>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③论文认证：</w:t>
      </w:r>
      <w:r>
        <w:rPr>
          <w:rFonts w:hint="eastAsia" w:ascii="仿宋_GB2312" w:hAnsi="仿宋_GB2312" w:eastAsia="仿宋_GB2312" w:cs="仿宋_GB2312"/>
          <w:kern w:val="2"/>
          <w:sz w:val="32"/>
          <w:szCs w:val="32"/>
        </w:rPr>
        <w:t>发表的论文须在中国知网官网可查。</w:t>
      </w:r>
      <w:r>
        <w:rPr>
          <w:rFonts w:ascii="仿宋_GB2312" w:hAnsi="仿宋_GB2312" w:eastAsia="仿宋_GB2312" w:cs="仿宋_GB2312"/>
          <w:kern w:val="2"/>
          <w:sz w:val="32"/>
          <w:szCs w:val="32"/>
        </w:rPr>
        <w:t>应提供在中国知网（http://www.cnki.net）上查询到的论文认证的复印件。查询结果必须包括题名、作者、来源出处、发表时间等内容。</w:t>
      </w:r>
      <w:r>
        <w:rPr>
          <w:rFonts w:hint="eastAsia" w:ascii="仿宋_GB2312" w:hAnsi="仿宋_GB2312" w:eastAsia="仿宋_GB2312" w:cs="仿宋_GB2312"/>
          <w:kern w:val="2"/>
          <w:sz w:val="32"/>
          <w:szCs w:val="32"/>
        </w:rPr>
        <w:t>论文所属的刊物请自行到国家新闻出版署上核实刊物的真伪，（操作提示：登陆中华人民共和国新闻出版署，网址：</w:t>
      </w:r>
      <w:r>
        <w:rPr>
          <w:rFonts w:ascii="仿宋_GB2312" w:hAnsi="仿宋_GB2312" w:eastAsia="仿宋_GB2312" w:cs="仿宋_GB2312"/>
          <w:kern w:val="2"/>
          <w:sz w:val="32"/>
          <w:szCs w:val="32"/>
        </w:rPr>
        <w:t>https://www.nppa.gov.cn/bsfw/cyjghcpcx/qkan/index.html，点击以下路径查询：“办事服务-从业机构和产品查询-期刊/期刊社查询”）</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将</w:t>
      </w:r>
      <w:r>
        <w:rPr>
          <w:rFonts w:hint="eastAsia" w:ascii="仿宋_GB2312" w:hAnsi="仿宋_GB2312" w:eastAsia="仿宋_GB2312" w:cs="仿宋_GB2312"/>
          <w:kern w:val="2"/>
          <w:sz w:val="32"/>
          <w:szCs w:val="32"/>
        </w:rPr>
        <w:t>以上</w:t>
      </w:r>
      <w:r>
        <w:rPr>
          <w:rFonts w:ascii="仿宋_GB2312" w:hAnsi="仿宋_GB2312" w:eastAsia="仿宋_GB2312" w:cs="仿宋_GB2312"/>
          <w:kern w:val="2"/>
          <w:sz w:val="32"/>
          <w:szCs w:val="32"/>
        </w:rPr>
        <w:t>查询结果输出打印后附在论文后面。</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三、面试要求</w:t>
      </w:r>
      <w:bookmarkStart w:id="0" w:name="OLE_LINK3"/>
      <w:bookmarkEnd w:id="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凡申报评审高级工程师任职资格的人员，均需参加答辩考核。答辩对象应准时到场，无故不参加答辩考核者,视为自动放弃申报，其申报材料不提交评委会评审。具体答辩时间地点另行通知。</w:t>
      </w:r>
    </w:p>
    <w:sectPr>
      <w:headerReference r:id="rId3" w:type="default"/>
      <w:footerReference r:id="rId4" w:type="default"/>
      <w:pgSz w:w="11906" w:h="16838"/>
      <w:pgMar w:top="1304" w:right="1416"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Times New Roman" w:asciiTheme="minorEastAsia" w:hAnsiTheme="minorEastAsia" w:eastAsiaTheme="minorEastAsia"/>
        <w:sz w:val="24"/>
        <w:szCs w:val="24"/>
      </w:rPr>
    </w:pPr>
    <w:r>
      <w:rPr>
        <w:rStyle w:val="9"/>
        <w:rFonts w:asciiTheme="minorEastAsia" w:hAnsiTheme="minorEastAsia" w:eastAsiaTheme="minorEastAsia"/>
        <w:sz w:val="24"/>
        <w:szCs w:val="24"/>
      </w:rPr>
      <w:fldChar w:fldCharType="begin"/>
    </w:r>
    <w:r>
      <w:rPr>
        <w:rStyle w:val="9"/>
        <w:rFonts w:asciiTheme="minorEastAsia" w:hAnsiTheme="minorEastAsia" w:eastAsiaTheme="minorEastAsia"/>
        <w:sz w:val="24"/>
        <w:szCs w:val="24"/>
      </w:rPr>
      <w:instrText xml:space="preserve">PAGE  </w:instrText>
    </w:r>
    <w:r>
      <w:rPr>
        <w:rStyle w:val="9"/>
        <w:rFonts w:asciiTheme="minorEastAsia" w:hAnsiTheme="minorEastAsia" w:eastAsiaTheme="minorEastAsia"/>
        <w:sz w:val="24"/>
        <w:szCs w:val="24"/>
      </w:rPr>
      <w:fldChar w:fldCharType="separate"/>
    </w:r>
    <w:r>
      <w:rPr>
        <w:rStyle w:val="9"/>
        <w:rFonts w:asciiTheme="minorEastAsia" w:hAnsiTheme="minorEastAsia" w:eastAsiaTheme="minorEastAsia"/>
        <w:sz w:val="24"/>
        <w:szCs w:val="24"/>
      </w:rPr>
      <w:t>4</w:t>
    </w:r>
    <w:r>
      <w:rPr>
        <w:rStyle w:val="9"/>
        <w:rFonts w:asciiTheme="minorEastAsia" w:hAnsiTheme="minorEastAsia" w:eastAsiaTheme="minorEastAsia"/>
        <w:sz w:val="24"/>
        <w:szCs w:val="24"/>
      </w:rPr>
      <w:fldChar w:fldCharType="end"/>
    </w: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Y5NTAxYTYzNTNjZGQ1YzBkNDk5ODY0ZGNhYmZhYTcifQ=="/>
  </w:docVars>
  <w:rsids>
    <w:rsidRoot w:val="007421B3"/>
    <w:rsid w:val="000108F3"/>
    <w:rsid w:val="0002077B"/>
    <w:rsid w:val="0003084B"/>
    <w:rsid w:val="00035554"/>
    <w:rsid w:val="00035A0A"/>
    <w:rsid w:val="000457DE"/>
    <w:rsid w:val="000502CF"/>
    <w:rsid w:val="00055412"/>
    <w:rsid w:val="000621A4"/>
    <w:rsid w:val="00062333"/>
    <w:rsid w:val="000623AC"/>
    <w:rsid w:val="00066E99"/>
    <w:rsid w:val="000728BD"/>
    <w:rsid w:val="00075595"/>
    <w:rsid w:val="000766CE"/>
    <w:rsid w:val="00081729"/>
    <w:rsid w:val="00082FB2"/>
    <w:rsid w:val="000A30D4"/>
    <w:rsid w:val="000B01A1"/>
    <w:rsid w:val="000D07C3"/>
    <w:rsid w:val="000D1577"/>
    <w:rsid w:val="000D5B72"/>
    <w:rsid w:val="000D5C72"/>
    <w:rsid w:val="000E33F3"/>
    <w:rsid w:val="000E38B1"/>
    <w:rsid w:val="000F4120"/>
    <w:rsid w:val="000F62DC"/>
    <w:rsid w:val="00101670"/>
    <w:rsid w:val="001178AC"/>
    <w:rsid w:val="00122F7B"/>
    <w:rsid w:val="001444FD"/>
    <w:rsid w:val="00144651"/>
    <w:rsid w:val="00153B1F"/>
    <w:rsid w:val="00160F54"/>
    <w:rsid w:val="001947E6"/>
    <w:rsid w:val="00194F26"/>
    <w:rsid w:val="001A7DDB"/>
    <w:rsid w:val="001B242A"/>
    <w:rsid w:val="001B2ED9"/>
    <w:rsid w:val="001B3299"/>
    <w:rsid w:val="001B4BCC"/>
    <w:rsid w:val="001B4C61"/>
    <w:rsid w:val="001C0664"/>
    <w:rsid w:val="001D20C7"/>
    <w:rsid w:val="001D4F93"/>
    <w:rsid w:val="001D59A8"/>
    <w:rsid w:val="001F6C36"/>
    <w:rsid w:val="00207ADB"/>
    <w:rsid w:val="002162B2"/>
    <w:rsid w:val="00234591"/>
    <w:rsid w:val="00237B6C"/>
    <w:rsid w:val="00237E99"/>
    <w:rsid w:val="00242B98"/>
    <w:rsid w:val="00243BF4"/>
    <w:rsid w:val="00252AB7"/>
    <w:rsid w:val="00253F47"/>
    <w:rsid w:val="00264C50"/>
    <w:rsid w:val="0026658A"/>
    <w:rsid w:val="0026715D"/>
    <w:rsid w:val="00272AEB"/>
    <w:rsid w:val="002840F6"/>
    <w:rsid w:val="0029302E"/>
    <w:rsid w:val="0029554D"/>
    <w:rsid w:val="0029572D"/>
    <w:rsid w:val="00296D35"/>
    <w:rsid w:val="0029749C"/>
    <w:rsid w:val="002A284B"/>
    <w:rsid w:val="002B7FF5"/>
    <w:rsid w:val="002C5CA3"/>
    <w:rsid w:val="002C6693"/>
    <w:rsid w:val="002C730A"/>
    <w:rsid w:val="002D674B"/>
    <w:rsid w:val="002D67EF"/>
    <w:rsid w:val="002E09CA"/>
    <w:rsid w:val="002E4C61"/>
    <w:rsid w:val="0030466B"/>
    <w:rsid w:val="00322E9B"/>
    <w:rsid w:val="00327EFB"/>
    <w:rsid w:val="00332A7E"/>
    <w:rsid w:val="0033352C"/>
    <w:rsid w:val="003415EB"/>
    <w:rsid w:val="00361FCA"/>
    <w:rsid w:val="003729D9"/>
    <w:rsid w:val="00373E47"/>
    <w:rsid w:val="003913D8"/>
    <w:rsid w:val="003A018B"/>
    <w:rsid w:val="003A0481"/>
    <w:rsid w:val="003A2E63"/>
    <w:rsid w:val="003B654A"/>
    <w:rsid w:val="003C1EA6"/>
    <w:rsid w:val="003C47EA"/>
    <w:rsid w:val="003C561A"/>
    <w:rsid w:val="003D25BB"/>
    <w:rsid w:val="003E454C"/>
    <w:rsid w:val="003E5C93"/>
    <w:rsid w:val="003E6A97"/>
    <w:rsid w:val="00405295"/>
    <w:rsid w:val="00405E0A"/>
    <w:rsid w:val="00406CFA"/>
    <w:rsid w:val="004129CC"/>
    <w:rsid w:val="004171A3"/>
    <w:rsid w:val="004206FD"/>
    <w:rsid w:val="004209EE"/>
    <w:rsid w:val="004218A5"/>
    <w:rsid w:val="0042227E"/>
    <w:rsid w:val="0043003A"/>
    <w:rsid w:val="0043200D"/>
    <w:rsid w:val="00436997"/>
    <w:rsid w:val="00451F84"/>
    <w:rsid w:val="00454B5C"/>
    <w:rsid w:val="00463822"/>
    <w:rsid w:val="004664C8"/>
    <w:rsid w:val="00472181"/>
    <w:rsid w:val="0047629B"/>
    <w:rsid w:val="00476F37"/>
    <w:rsid w:val="00483BF1"/>
    <w:rsid w:val="004871B6"/>
    <w:rsid w:val="004917AA"/>
    <w:rsid w:val="00494136"/>
    <w:rsid w:val="004B5D17"/>
    <w:rsid w:val="004B6D51"/>
    <w:rsid w:val="004C1D8D"/>
    <w:rsid w:val="004D0216"/>
    <w:rsid w:val="004D7400"/>
    <w:rsid w:val="004E0BFA"/>
    <w:rsid w:val="004E242F"/>
    <w:rsid w:val="004F744C"/>
    <w:rsid w:val="005114C8"/>
    <w:rsid w:val="00513D12"/>
    <w:rsid w:val="00517C16"/>
    <w:rsid w:val="00521034"/>
    <w:rsid w:val="005255F4"/>
    <w:rsid w:val="005257BD"/>
    <w:rsid w:val="005306AA"/>
    <w:rsid w:val="005315D5"/>
    <w:rsid w:val="00531B8A"/>
    <w:rsid w:val="005335ED"/>
    <w:rsid w:val="0053478B"/>
    <w:rsid w:val="00547358"/>
    <w:rsid w:val="005504D8"/>
    <w:rsid w:val="005526A5"/>
    <w:rsid w:val="005559F1"/>
    <w:rsid w:val="00560AFA"/>
    <w:rsid w:val="005662E2"/>
    <w:rsid w:val="005702D4"/>
    <w:rsid w:val="00580ECB"/>
    <w:rsid w:val="00587CC4"/>
    <w:rsid w:val="005902D2"/>
    <w:rsid w:val="00592AE2"/>
    <w:rsid w:val="005A614A"/>
    <w:rsid w:val="005B362E"/>
    <w:rsid w:val="005C1C2E"/>
    <w:rsid w:val="005D1061"/>
    <w:rsid w:val="005D695D"/>
    <w:rsid w:val="005E1C40"/>
    <w:rsid w:val="005F50EB"/>
    <w:rsid w:val="005F6080"/>
    <w:rsid w:val="005F6C76"/>
    <w:rsid w:val="00604198"/>
    <w:rsid w:val="00636FEA"/>
    <w:rsid w:val="006614A1"/>
    <w:rsid w:val="00666129"/>
    <w:rsid w:val="006750C0"/>
    <w:rsid w:val="00681030"/>
    <w:rsid w:val="006913C0"/>
    <w:rsid w:val="00693022"/>
    <w:rsid w:val="00694E65"/>
    <w:rsid w:val="006A3173"/>
    <w:rsid w:val="006A69EA"/>
    <w:rsid w:val="006A708C"/>
    <w:rsid w:val="006B14E1"/>
    <w:rsid w:val="006C23AE"/>
    <w:rsid w:val="006E1367"/>
    <w:rsid w:val="006E145C"/>
    <w:rsid w:val="006F16CB"/>
    <w:rsid w:val="00704C0B"/>
    <w:rsid w:val="00717190"/>
    <w:rsid w:val="00723718"/>
    <w:rsid w:val="00723AB1"/>
    <w:rsid w:val="0072733C"/>
    <w:rsid w:val="00740F58"/>
    <w:rsid w:val="007421B3"/>
    <w:rsid w:val="0076138C"/>
    <w:rsid w:val="007674C6"/>
    <w:rsid w:val="00772FC6"/>
    <w:rsid w:val="0077717A"/>
    <w:rsid w:val="00783194"/>
    <w:rsid w:val="007843AF"/>
    <w:rsid w:val="00786C38"/>
    <w:rsid w:val="007901BF"/>
    <w:rsid w:val="0079696D"/>
    <w:rsid w:val="007A5823"/>
    <w:rsid w:val="007B2927"/>
    <w:rsid w:val="007B34CC"/>
    <w:rsid w:val="007B785F"/>
    <w:rsid w:val="007C2306"/>
    <w:rsid w:val="007C3B53"/>
    <w:rsid w:val="007C679E"/>
    <w:rsid w:val="007D047F"/>
    <w:rsid w:val="007D1C77"/>
    <w:rsid w:val="007E2BAB"/>
    <w:rsid w:val="00816136"/>
    <w:rsid w:val="00822F1B"/>
    <w:rsid w:val="0083724A"/>
    <w:rsid w:val="00842E7D"/>
    <w:rsid w:val="00861402"/>
    <w:rsid w:val="008633DD"/>
    <w:rsid w:val="00867706"/>
    <w:rsid w:val="008715FB"/>
    <w:rsid w:val="008871B7"/>
    <w:rsid w:val="00893825"/>
    <w:rsid w:val="00894D0C"/>
    <w:rsid w:val="00897A0F"/>
    <w:rsid w:val="008A0D35"/>
    <w:rsid w:val="008A49D7"/>
    <w:rsid w:val="008A6EB9"/>
    <w:rsid w:val="008B4062"/>
    <w:rsid w:val="008B6313"/>
    <w:rsid w:val="008C446F"/>
    <w:rsid w:val="008C4988"/>
    <w:rsid w:val="008D04CA"/>
    <w:rsid w:val="008D06E2"/>
    <w:rsid w:val="008F4A0C"/>
    <w:rsid w:val="009031D5"/>
    <w:rsid w:val="0090416D"/>
    <w:rsid w:val="009075FB"/>
    <w:rsid w:val="00913302"/>
    <w:rsid w:val="00930601"/>
    <w:rsid w:val="0093238A"/>
    <w:rsid w:val="00941402"/>
    <w:rsid w:val="00944728"/>
    <w:rsid w:val="00956F6F"/>
    <w:rsid w:val="009703A4"/>
    <w:rsid w:val="00977458"/>
    <w:rsid w:val="0098081E"/>
    <w:rsid w:val="00995409"/>
    <w:rsid w:val="0099791F"/>
    <w:rsid w:val="009C0B63"/>
    <w:rsid w:val="009C5D1A"/>
    <w:rsid w:val="009D0FCF"/>
    <w:rsid w:val="009D1DA0"/>
    <w:rsid w:val="009D22C6"/>
    <w:rsid w:val="009D3AD0"/>
    <w:rsid w:val="009D6E38"/>
    <w:rsid w:val="009E577F"/>
    <w:rsid w:val="009E6F2E"/>
    <w:rsid w:val="009E7186"/>
    <w:rsid w:val="009F2529"/>
    <w:rsid w:val="009F2642"/>
    <w:rsid w:val="009F40C4"/>
    <w:rsid w:val="00A03FF7"/>
    <w:rsid w:val="00A0454E"/>
    <w:rsid w:val="00A1082F"/>
    <w:rsid w:val="00A14DB8"/>
    <w:rsid w:val="00A24B3D"/>
    <w:rsid w:val="00A27505"/>
    <w:rsid w:val="00A432EA"/>
    <w:rsid w:val="00A463D4"/>
    <w:rsid w:val="00A506D8"/>
    <w:rsid w:val="00A569FE"/>
    <w:rsid w:val="00A633D1"/>
    <w:rsid w:val="00A763DD"/>
    <w:rsid w:val="00A80FB9"/>
    <w:rsid w:val="00A82800"/>
    <w:rsid w:val="00A8487A"/>
    <w:rsid w:val="00A86101"/>
    <w:rsid w:val="00A907B3"/>
    <w:rsid w:val="00A91656"/>
    <w:rsid w:val="00A9201B"/>
    <w:rsid w:val="00AA0514"/>
    <w:rsid w:val="00AA123A"/>
    <w:rsid w:val="00AA5157"/>
    <w:rsid w:val="00AA72CD"/>
    <w:rsid w:val="00AD5D52"/>
    <w:rsid w:val="00AD79EB"/>
    <w:rsid w:val="00AE2B8D"/>
    <w:rsid w:val="00AE43F3"/>
    <w:rsid w:val="00AE4611"/>
    <w:rsid w:val="00AF145B"/>
    <w:rsid w:val="00AF1FCE"/>
    <w:rsid w:val="00AF41CF"/>
    <w:rsid w:val="00B1286D"/>
    <w:rsid w:val="00B12C9B"/>
    <w:rsid w:val="00B16385"/>
    <w:rsid w:val="00B25E5A"/>
    <w:rsid w:val="00B3481E"/>
    <w:rsid w:val="00B47FE2"/>
    <w:rsid w:val="00B54603"/>
    <w:rsid w:val="00B60EED"/>
    <w:rsid w:val="00B64E94"/>
    <w:rsid w:val="00B659DF"/>
    <w:rsid w:val="00B67BBD"/>
    <w:rsid w:val="00B70F2B"/>
    <w:rsid w:val="00B72E70"/>
    <w:rsid w:val="00B7740A"/>
    <w:rsid w:val="00BA3B01"/>
    <w:rsid w:val="00BA5817"/>
    <w:rsid w:val="00BB0663"/>
    <w:rsid w:val="00BB0C1C"/>
    <w:rsid w:val="00BB45A6"/>
    <w:rsid w:val="00BB4A54"/>
    <w:rsid w:val="00BB643C"/>
    <w:rsid w:val="00BD2BEA"/>
    <w:rsid w:val="00BD3157"/>
    <w:rsid w:val="00BD3B51"/>
    <w:rsid w:val="00BE3E6B"/>
    <w:rsid w:val="00BF37B8"/>
    <w:rsid w:val="00C005A7"/>
    <w:rsid w:val="00C04EC2"/>
    <w:rsid w:val="00C05440"/>
    <w:rsid w:val="00C1262C"/>
    <w:rsid w:val="00C16657"/>
    <w:rsid w:val="00C21228"/>
    <w:rsid w:val="00C33261"/>
    <w:rsid w:val="00C3410A"/>
    <w:rsid w:val="00C35492"/>
    <w:rsid w:val="00C42057"/>
    <w:rsid w:val="00C5089D"/>
    <w:rsid w:val="00C5326B"/>
    <w:rsid w:val="00C534E0"/>
    <w:rsid w:val="00C55CE5"/>
    <w:rsid w:val="00C571C8"/>
    <w:rsid w:val="00C61A35"/>
    <w:rsid w:val="00C83615"/>
    <w:rsid w:val="00C97EE4"/>
    <w:rsid w:val="00CA6F25"/>
    <w:rsid w:val="00CB7F31"/>
    <w:rsid w:val="00CC012C"/>
    <w:rsid w:val="00CD4235"/>
    <w:rsid w:val="00CE1833"/>
    <w:rsid w:val="00CE4715"/>
    <w:rsid w:val="00D040FD"/>
    <w:rsid w:val="00D116BD"/>
    <w:rsid w:val="00D233F8"/>
    <w:rsid w:val="00D40685"/>
    <w:rsid w:val="00D4392D"/>
    <w:rsid w:val="00D57FA5"/>
    <w:rsid w:val="00D7009A"/>
    <w:rsid w:val="00D85803"/>
    <w:rsid w:val="00DA0108"/>
    <w:rsid w:val="00DA306A"/>
    <w:rsid w:val="00DA3709"/>
    <w:rsid w:val="00DA55EF"/>
    <w:rsid w:val="00DA6BF4"/>
    <w:rsid w:val="00DB73BF"/>
    <w:rsid w:val="00DD29D5"/>
    <w:rsid w:val="00DD3F19"/>
    <w:rsid w:val="00DE0620"/>
    <w:rsid w:val="00DE149E"/>
    <w:rsid w:val="00DE5B72"/>
    <w:rsid w:val="00DF13A6"/>
    <w:rsid w:val="00DF382D"/>
    <w:rsid w:val="00DF55D4"/>
    <w:rsid w:val="00E168AE"/>
    <w:rsid w:val="00E27697"/>
    <w:rsid w:val="00E324E7"/>
    <w:rsid w:val="00E40D93"/>
    <w:rsid w:val="00E44885"/>
    <w:rsid w:val="00E45673"/>
    <w:rsid w:val="00E572A7"/>
    <w:rsid w:val="00E5770B"/>
    <w:rsid w:val="00E61135"/>
    <w:rsid w:val="00E62AA0"/>
    <w:rsid w:val="00E656EF"/>
    <w:rsid w:val="00E87A30"/>
    <w:rsid w:val="00EA0E94"/>
    <w:rsid w:val="00EB233D"/>
    <w:rsid w:val="00EB6DCA"/>
    <w:rsid w:val="00EB71FC"/>
    <w:rsid w:val="00EC0931"/>
    <w:rsid w:val="00EC1AE4"/>
    <w:rsid w:val="00EC7CB6"/>
    <w:rsid w:val="00ED382E"/>
    <w:rsid w:val="00ED6E68"/>
    <w:rsid w:val="00EE6423"/>
    <w:rsid w:val="00EF3D01"/>
    <w:rsid w:val="00EF5627"/>
    <w:rsid w:val="00F04CEA"/>
    <w:rsid w:val="00F0574D"/>
    <w:rsid w:val="00F34BE4"/>
    <w:rsid w:val="00F56BCB"/>
    <w:rsid w:val="00F61D60"/>
    <w:rsid w:val="00F66478"/>
    <w:rsid w:val="00F70530"/>
    <w:rsid w:val="00F716A5"/>
    <w:rsid w:val="00F737BF"/>
    <w:rsid w:val="00F867EA"/>
    <w:rsid w:val="00FA21BA"/>
    <w:rsid w:val="00FA2442"/>
    <w:rsid w:val="00FA7924"/>
    <w:rsid w:val="00FB235A"/>
    <w:rsid w:val="00FB2833"/>
    <w:rsid w:val="00FC7A3D"/>
    <w:rsid w:val="00FD101D"/>
    <w:rsid w:val="00FE15E6"/>
    <w:rsid w:val="00FE36A4"/>
    <w:rsid w:val="00FE79FD"/>
    <w:rsid w:val="00FE7C75"/>
    <w:rsid w:val="00FF76AE"/>
    <w:rsid w:val="02691A29"/>
    <w:rsid w:val="02E4100B"/>
    <w:rsid w:val="033D1B7C"/>
    <w:rsid w:val="048E122E"/>
    <w:rsid w:val="055C132D"/>
    <w:rsid w:val="066F5090"/>
    <w:rsid w:val="069F1AC2"/>
    <w:rsid w:val="075F0322"/>
    <w:rsid w:val="07CC62EA"/>
    <w:rsid w:val="09121943"/>
    <w:rsid w:val="094A04B5"/>
    <w:rsid w:val="0A670558"/>
    <w:rsid w:val="0A862B9B"/>
    <w:rsid w:val="0DFF4F4B"/>
    <w:rsid w:val="0EE71D97"/>
    <w:rsid w:val="104410B1"/>
    <w:rsid w:val="110C7FEC"/>
    <w:rsid w:val="128D521B"/>
    <w:rsid w:val="12ED5CBA"/>
    <w:rsid w:val="14BD4966"/>
    <w:rsid w:val="15D849FF"/>
    <w:rsid w:val="164F60A8"/>
    <w:rsid w:val="191172DD"/>
    <w:rsid w:val="19CF7EC7"/>
    <w:rsid w:val="1A113F28"/>
    <w:rsid w:val="1A832AB7"/>
    <w:rsid w:val="1D0D7B40"/>
    <w:rsid w:val="1DA67191"/>
    <w:rsid w:val="1E227D74"/>
    <w:rsid w:val="1EB06519"/>
    <w:rsid w:val="1EC27FFB"/>
    <w:rsid w:val="1F614B07"/>
    <w:rsid w:val="1F7D47FB"/>
    <w:rsid w:val="1FD61FB0"/>
    <w:rsid w:val="202251F5"/>
    <w:rsid w:val="213A0A60"/>
    <w:rsid w:val="21FC1A76"/>
    <w:rsid w:val="23D35252"/>
    <w:rsid w:val="255319AC"/>
    <w:rsid w:val="2575547C"/>
    <w:rsid w:val="258F6490"/>
    <w:rsid w:val="263C537C"/>
    <w:rsid w:val="268362C1"/>
    <w:rsid w:val="27C50584"/>
    <w:rsid w:val="29771D1F"/>
    <w:rsid w:val="2A2523DE"/>
    <w:rsid w:val="2ADE440E"/>
    <w:rsid w:val="2B886128"/>
    <w:rsid w:val="2BD458F6"/>
    <w:rsid w:val="2D7055FF"/>
    <w:rsid w:val="2DDF4725"/>
    <w:rsid w:val="2F1523C9"/>
    <w:rsid w:val="2F7C41F6"/>
    <w:rsid w:val="31A0241D"/>
    <w:rsid w:val="32AC6BA0"/>
    <w:rsid w:val="32DC711D"/>
    <w:rsid w:val="332C0A50"/>
    <w:rsid w:val="335E10FD"/>
    <w:rsid w:val="338E4585"/>
    <w:rsid w:val="33F86541"/>
    <w:rsid w:val="36B424C7"/>
    <w:rsid w:val="37054AD1"/>
    <w:rsid w:val="373A6CB0"/>
    <w:rsid w:val="399A1E48"/>
    <w:rsid w:val="3D9077EA"/>
    <w:rsid w:val="3E23490B"/>
    <w:rsid w:val="3E3D2C79"/>
    <w:rsid w:val="3F0A35CC"/>
    <w:rsid w:val="3F7F7D1B"/>
    <w:rsid w:val="40C357E1"/>
    <w:rsid w:val="42641245"/>
    <w:rsid w:val="42D57768"/>
    <w:rsid w:val="43A318F9"/>
    <w:rsid w:val="45197EA1"/>
    <w:rsid w:val="45603F46"/>
    <w:rsid w:val="458539AC"/>
    <w:rsid w:val="45CD0EAF"/>
    <w:rsid w:val="45CE56CE"/>
    <w:rsid w:val="464E0242"/>
    <w:rsid w:val="47213261"/>
    <w:rsid w:val="47282841"/>
    <w:rsid w:val="48216898"/>
    <w:rsid w:val="48AC1250"/>
    <w:rsid w:val="49866B78"/>
    <w:rsid w:val="4D3736E1"/>
    <w:rsid w:val="4D987FF5"/>
    <w:rsid w:val="4DA15341"/>
    <w:rsid w:val="4EFE565F"/>
    <w:rsid w:val="4F701229"/>
    <w:rsid w:val="4FD7612C"/>
    <w:rsid w:val="52C11D9C"/>
    <w:rsid w:val="52EE772D"/>
    <w:rsid w:val="53B45DE2"/>
    <w:rsid w:val="55FF50B5"/>
    <w:rsid w:val="56E173C5"/>
    <w:rsid w:val="57642259"/>
    <w:rsid w:val="57FF7C59"/>
    <w:rsid w:val="58474AF1"/>
    <w:rsid w:val="592B0E97"/>
    <w:rsid w:val="59EC755E"/>
    <w:rsid w:val="5A163E06"/>
    <w:rsid w:val="5D777C27"/>
    <w:rsid w:val="5DAB5B22"/>
    <w:rsid w:val="60FF40D8"/>
    <w:rsid w:val="61D54F1C"/>
    <w:rsid w:val="626D24CF"/>
    <w:rsid w:val="62B114E5"/>
    <w:rsid w:val="62DC3EFA"/>
    <w:rsid w:val="63536A40"/>
    <w:rsid w:val="63FB42A2"/>
    <w:rsid w:val="64BD3CA4"/>
    <w:rsid w:val="663E7255"/>
    <w:rsid w:val="68BA0C37"/>
    <w:rsid w:val="699E7B46"/>
    <w:rsid w:val="6A6D70B4"/>
    <w:rsid w:val="6AD40467"/>
    <w:rsid w:val="6BAC8762"/>
    <w:rsid w:val="6E1B015A"/>
    <w:rsid w:val="6EB5697E"/>
    <w:rsid w:val="6EFE263E"/>
    <w:rsid w:val="70096E04"/>
    <w:rsid w:val="701D640C"/>
    <w:rsid w:val="703E2F5E"/>
    <w:rsid w:val="71421230"/>
    <w:rsid w:val="715A71EC"/>
    <w:rsid w:val="760D2A7F"/>
    <w:rsid w:val="765E38EE"/>
    <w:rsid w:val="76870A83"/>
    <w:rsid w:val="77B238DE"/>
    <w:rsid w:val="77BC650A"/>
    <w:rsid w:val="7C913246"/>
    <w:rsid w:val="FDF765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qFormat/>
    <w:uiPriority w:val="99"/>
    <w:rPr>
      <w:kern w:val="0"/>
      <w:sz w:val="2"/>
      <w:szCs w:val="2"/>
    </w:rPr>
  </w:style>
  <w:style w:type="paragraph" w:styleId="4">
    <w:name w:val="footer"/>
    <w:basedOn w:val="1"/>
    <w:link w:val="14"/>
    <w:semiHidden/>
    <w:qFormat/>
    <w:uiPriority w:val="99"/>
    <w:pPr>
      <w:tabs>
        <w:tab w:val="center" w:pos="4153"/>
        <w:tab w:val="right" w:pos="8306"/>
      </w:tabs>
      <w:snapToGrid w:val="0"/>
      <w:jc w:val="left"/>
    </w:pPr>
    <w:rPr>
      <w:kern w:val="0"/>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styleId="12">
    <w:name w:val="annotation reference"/>
    <w:basedOn w:val="8"/>
    <w:semiHidden/>
    <w:unhideWhenUsed/>
    <w:qFormat/>
    <w:uiPriority w:val="99"/>
    <w:rPr>
      <w:sz w:val="21"/>
      <w:szCs w:val="21"/>
    </w:rPr>
  </w:style>
  <w:style w:type="character" w:customStyle="1" w:styleId="13">
    <w:name w:val="批注框文本 字符"/>
    <w:link w:val="3"/>
    <w:semiHidden/>
    <w:qFormat/>
    <w:locked/>
    <w:uiPriority w:val="99"/>
    <w:rPr>
      <w:sz w:val="2"/>
      <w:szCs w:val="2"/>
    </w:rPr>
  </w:style>
  <w:style w:type="character" w:customStyle="1" w:styleId="14">
    <w:name w:val="页脚 字符"/>
    <w:link w:val="4"/>
    <w:semiHidden/>
    <w:qFormat/>
    <w:locked/>
    <w:uiPriority w:val="99"/>
    <w:rPr>
      <w:sz w:val="18"/>
      <w:szCs w:val="18"/>
    </w:rPr>
  </w:style>
  <w:style w:type="character" w:customStyle="1" w:styleId="15">
    <w:name w:val="页眉 字符"/>
    <w:link w:val="5"/>
    <w:semiHidden/>
    <w:qFormat/>
    <w:locked/>
    <w:uiPriority w:val="99"/>
    <w:rPr>
      <w:sz w:val="18"/>
      <w:szCs w:val="18"/>
    </w:rPr>
  </w:style>
  <w:style w:type="paragraph" w:customStyle="1" w:styleId="16">
    <w:name w:val="修订1"/>
    <w:hidden/>
    <w:semiHidden/>
    <w:qFormat/>
    <w:uiPriority w:val="99"/>
    <w:rPr>
      <w:rFonts w:ascii="Calibri" w:hAnsi="Calibri" w:eastAsia="宋体" w:cs="Calibri"/>
      <w:kern w:val="2"/>
      <w:sz w:val="21"/>
      <w:szCs w:val="21"/>
      <w:lang w:val="en-US" w:eastAsia="zh-CN" w:bidi="ar-SA"/>
    </w:rPr>
  </w:style>
  <w:style w:type="paragraph" w:styleId="17">
    <w:name w:val="List Paragraph"/>
    <w:basedOn w:val="1"/>
    <w:qFormat/>
    <w:uiPriority w:val="99"/>
    <w:pPr>
      <w:ind w:firstLine="420" w:firstLineChars="200"/>
    </w:pPr>
  </w:style>
  <w:style w:type="paragraph" w:customStyle="1" w:styleId="18">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674</Words>
  <Characters>3848</Characters>
  <Lines>32</Lines>
  <Paragraphs>9</Paragraphs>
  <TotalTime>7</TotalTime>
  <ScaleCrop>false</ScaleCrop>
  <LinksUpToDate>false</LinksUpToDate>
  <CharactersWithSpaces>4513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2021-07-14T18:31:00Z</dcterms:created>
  <dc:creator>admin</dc:creator>
  <cp:lastModifiedBy>user</cp:lastModifiedBy>
  <cp:lastPrinted>2017-08-12T12:07:00Z</cp:lastPrinted>
  <dcterms:modified xsi:type="dcterms:W3CDTF">2024-05-16T15:18:21Z</dcterms:modified>
  <dc:title>福建自贸试验区厦门片区航空维修产业人才评价领导小组关于报送2017年度航空维修产业助理工程师、工程师评审材料的通知</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88A8DAB9CEFC4A51BD69AF30526AF6C8</vt:lpwstr>
  </property>
</Properties>
</file>