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pacing w:val="-6"/>
          <w:sz w:val="36"/>
          <w:szCs w:val="36"/>
          <w:lang w:eastAsia="zh-CN"/>
        </w:rPr>
      </w:pP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pacing w:val="-6"/>
          <w:sz w:val="36"/>
          <w:szCs w:val="36"/>
          <w:lang w:eastAsia="zh-CN"/>
        </w:rPr>
      </w:pPr>
      <w:bookmarkStart w:id="0" w:name="_GoBack"/>
      <w:r>
        <w:rPr>
          <w:rFonts w:hint="eastAsia" w:ascii="方正小标宋简体" w:hAnsi="方正小标宋简体" w:eastAsia="方正小标宋简体" w:cs="方正小标宋简体"/>
          <w:bCs/>
          <w:spacing w:val="-6"/>
          <w:sz w:val="36"/>
          <w:szCs w:val="36"/>
          <w:lang w:eastAsia="zh-CN"/>
        </w:rPr>
        <w:t>《</w:t>
      </w:r>
      <w:r>
        <w:rPr>
          <w:rFonts w:hint="eastAsia" w:ascii="方正小标宋简体" w:hAnsi="方正小标宋简体" w:eastAsia="方正小标宋简体" w:cs="方正小标宋简体"/>
          <w:bCs/>
          <w:spacing w:val="-6"/>
          <w:sz w:val="36"/>
          <w:szCs w:val="36"/>
        </w:rPr>
        <w:t>海沧区</w:t>
      </w:r>
      <w:r>
        <w:rPr>
          <w:rFonts w:hint="eastAsia" w:ascii="方正小标宋简体" w:hAnsi="方正小标宋简体" w:eastAsia="方正小标宋简体" w:cs="方正小标宋简体"/>
          <w:bCs/>
          <w:spacing w:val="-6"/>
          <w:sz w:val="36"/>
          <w:szCs w:val="36"/>
          <w:lang w:eastAsia="zh-CN"/>
        </w:rPr>
        <w:t>促进</w:t>
      </w:r>
      <w:r>
        <w:rPr>
          <w:rFonts w:hint="eastAsia" w:ascii="方正小标宋简体" w:hAnsi="方正小标宋简体" w:eastAsia="方正小标宋简体" w:cs="方正小标宋简体"/>
          <w:bCs/>
          <w:spacing w:val="-6"/>
          <w:sz w:val="36"/>
          <w:szCs w:val="36"/>
        </w:rPr>
        <w:t>智能视听产业发展</w:t>
      </w:r>
      <w:r>
        <w:rPr>
          <w:rFonts w:hint="eastAsia" w:ascii="方正小标宋简体" w:hAnsi="方正小标宋简体" w:eastAsia="方正小标宋简体" w:cs="方正小标宋简体"/>
          <w:bCs/>
          <w:spacing w:val="-6"/>
          <w:sz w:val="36"/>
          <w:szCs w:val="36"/>
          <w:lang w:eastAsia="zh-CN"/>
        </w:rPr>
        <w:t>暂行办法》支持智能视听</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方正小标宋简体" w:eastAsia="方正小标宋简体" w:cs="方正小标宋简体"/>
          <w:bCs/>
          <w:spacing w:val="-6"/>
          <w:sz w:val="36"/>
          <w:szCs w:val="36"/>
        </w:rPr>
      </w:pPr>
      <w:r>
        <w:rPr>
          <w:rFonts w:hint="eastAsia" w:ascii="方正小标宋简体" w:hAnsi="方正小标宋简体" w:eastAsia="方正小标宋简体" w:cs="方正小标宋简体"/>
          <w:bCs/>
          <w:spacing w:val="-6"/>
          <w:sz w:val="36"/>
          <w:szCs w:val="36"/>
          <w:lang w:eastAsia="zh-CN"/>
        </w:rPr>
        <w:t>企业降低运营成本（</w:t>
      </w:r>
      <w:r>
        <w:rPr>
          <w:rFonts w:hint="eastAsia" w:ascii="方正小标宋简体" w:hAnsi="方正小标宋简体" w:eastAsia="方正小标宋简体" w:cs="方正小标宋简体"/>
          <w:bCs/>
          <w:spacing w:val="-6"/>
          <w:sz w:val="36"/>
          <w:szCs w:val="36"/>
        </w:rPr>
        <w:t>装修补助</w:t>
      </w:r>
      <w:r>
        <w:rPr>
          <w:rFonts w:hint="eastAsia" w:ascii="方正小标宋简体" w:hAnsi="方正小标宋简体" w:eastAsia="方正小标宋简体" w:cs="方正小标宋简体"/>
          <w:bCs/>
          <w:spacing w:val="-6"/>
          <w:sz w:val="36"/>
          <w:szCs w:val="36"/>
          <w:lang w:eastAsia="zh-CN"/>
        </w:rPr>
        <w:t>）</w:t>
      </w:r>
      <w:r>
        <w:rPr>
          <w:rFonts w:hint="eastAsia" w:ascii="方正小标宋简体" w:hAnsi="方正小标宋简体" w:eastAsia="方正小标宋简体" w:cs="方正小标宋简体"/>
          <w:bCs/>
          <w:spacing w:val="-6"/>
          <w:sz w:val="36"/>
          <w:szCs w:val="36"/>
        </w:rPr>
        <w:t>申报指南</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一、申报事项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sz w:val="32"/>
          <w:szCs w:val="32"/>
          <w:lang w:val="en-US" w:eastAsia="zh-CN"/>
        </w:rPr>
        <w:t>《厦门市海沧区文化和旅游局关于印发海沧区促进智能视听产业发展暂行办法的通知》（厦海文旅〔2023〕65号）</w:t>
      </w:r>
      <w:r>
        <w:rPr>
          <w:rFonts w:hint="eastAsia" w:ascii="方正仿宋_GB2312" w:hAnsi="方正仿宋_GB2312" w:eastAsia="方正仿宋_GB2312" w:cs="方正仿宋_GB2312"/>
          <w:kern w:val="2"/>
          <w:sz w:val="32"/>
          <w:szCs w:val="32"/>
          <w:lang w:val="en-US" w:eastAsia="zh-CN" w:bidi="ar-SA"/>
        </w:rPr>
        <w:t>第三条支持智能视听企业降低运营成本：按照实际装修金额（不含税）的50%给予每平方米不超过300元的一次性装修补助，每家企业装修最高补助100万元。</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申报企业应符合以下条件：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1.根据《统计法》履行统计义务，纳入文化产业统计名录库，数字经济及其核心产业统计名录库，信息传输、软件和信息技术服务业统计名录库等三个统计名录库其中之一的企业。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2.中国（厦门）智能视听产业基地海沧拓展区依法新设立或迁入，具有独立法人资格，企业形式包括公司制企业、合伙企业、个人独资企业（不包括分支机构)。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3.</w:t>
      </w:r>
      <w:r>
        <w:rPr>
          <w:rFonts w:hint="eastAsia" w:ascii="方正仿宋_GB2312" w:hAnsi="方正仿宋_GB2312" w:eastAsia="方正仿宋_GB2312" w:cs="方正仿宋_GB2312"/>
          <w:color w:val="auto"/>
          <w:kern w:val="2"/>
          <w:sz w:val="32"/>
          <w:szCs w:val="32"/>
          <w:highlight w:val="none"/>
          <w:lang w:val="en-US" w:eastAsia="zh-CN" w:bidi="ar-SA"/>
        </w:rPr>
        <w:t>符合《海沧区促进智能视听产业发展暂行办法》第七条所称的“智能视听企业”。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1.《海沧区促进智能视听产业发展专项资金申报表》；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2.申报企业营业执照副本复印件（迁入企业需提供变更后营业执照副本复印件）；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3.场地装修证明材料：施工合同；</w:t>
      </w:r>
      <w:r>
        <w:rPr>
          <w:rFonts w:hint="eastAsia" w:ascii="方正仿宋_GB2312" w:hAnsi="方正仿宋_GB2312" w:eastAsia="方正仿宋_GB2312" w:cs="方正仿宋_GB2312"/>
          <w:color w:val="auto"/>
          <w:kern w:val="2"/>
          <w:sz w:val="32"/>
          <w:szCs w:val="32"/>
          <w:highlight w:val="none"/>
          <w:lang w:val="en-US" w:eastAsia="zh-CN" w:bidi="ar-SA"/>
        </w:rPr>
        <w:t>装修发票清单及复印件（发票备注信息须体现装修项目地址）；装修付款凭证清单及复印件（付款非对公转账的，需提供相关情况说明）。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4.企业主营业务合同及企业入驻之日起至2024年7月31日增值税纳税申报表。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方正仿宋_GB2312" w:hAnsi="方正仿宋_GB2312" w:eastAsia="方正仿宋_GB2312" w:cs="方正仿宋_GB2312"/>
          <w:color w:val="auto"/>
          <w:kern w:val="2"/>
          <w:sz w:val="32"/>
          <w:szCs w:val="32"/>
          <w:highlight w:val="none"/>
          <w:lang w:val="en-US" w:eastAsia="zh-CN" w:bidi="ar-SA"/>
        </w:rPr>
        <w:t>5.</w:t>
      </w:r>
      <w:r>
        <w:rPr>
          <w:rFonts w:hint="eastAsia" w:ascii="方正仿宋_GB2312" w:hAnsi="方正仿宋_GB2312" w:eastAsia="方正仿宋_GB2312" w:cs="方正仿宋_GB2312"/>
          <w:kern w:val="2"/>
          <w:sz w:val="32"/>
          <w:szCs w:val="32"/>
          <w:lang w:val="en-US" w:eastAsia="zh-CN" w:bidi="ar-SA"/>
        </w:rPr>
        <w:t>书面材料一式两份，在封面申报单位处盖公章、在申请单位意见栏盖公章并由法定代表人签名、需加盖骑缝章。采用A4纸双面打印，并按顺序编写页码，于左侧装订成册（自行下载申报表，书面材料不退还）。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sz w:val="32"/>
          <w:szCs w:val="32"/>
          <w:lang w:val="en-US" w:eastAsia="zh-CN"/>
        </w:rPr>
        <w:t>四、申报时间</w:t>
      </w:r>
      <w:r>
        <w:rPr>
          <w:rFonts w:hint="eastAsia" w:ascii="方正仿宋_GB2312" w:hAnsi="方正仿宋_GB2312" w:eastAsia="方正仿宋_GB2312" w:cs="方正仿宋_GB2312"/>
          <w:b/>
          <w:bCs/>
          <w:sz w:val="32"/>
          <w:szCs w:val="32"/>
          <w:lang w:val="en-US" w:eastAsia="zh-CN"/>
        </w:rPr>
        <w:t>：</w:t>
      </w:r>
      <w:r>
        <w:rPr>
          <w:rFonts w:hint="default" w:ascii="方正仿宋_GB2312" w:hAnsi="方正仿宋_GB2312" w:eastAsia="方正仿宋_GB2312" w:cs="方正仿宋_GB2312"/>
          <w:kern w:val="2"/>
          <w:sz w:val="32"/>
          <w:szCs w:val="32"/>
          <w:lang w:val="en-US" w:eastAsia="zh-CN" w:bidi="ar-SA"/>
        </w:rPr>
        <w:t>自发布之日起至2024年</w:t>
      </w:r>
      <w:r>
        <w:rPr>
          <w:rFonts w:hint="eastAsia" w:ascii="方正仿宋_GB2312" w:hAnsi="方正仿宋_GB2312" w:eastAsia="方正仿宋_GB2312" w:cs="方正仿宋_GB2312"/>
          <w:kern w:val="2"/>
          <w:sz w:val="32"/>
          <w:szCs w:val="32"/>
          <w:lang w:val="en-US" w:eastAsia="zh-CN" w:bidi="ar-SA"/>
        </w:rPr>
        <w:t>8</w:t>
      </w:r>
      <w:r>
        <w:rPr>
          <w:rFonts w:hint="default" w:ascii="方正仿宋_GB2312" w:hAnsi="方正仿宋_GB2312" w:eastAsia="方正仿宋_GB2312" w:cs="方正仿宋_GB2312"/>
          <w:kern w:val="2"/>
          <w:sz w:val="32"/>
          <w:szCs w:val="32"/>
          <w:lang w:val="en-US" w:eastAsia="zh-CN" w:bidi="ar-SA"/>
        </w:rPr>
        <w:t>月</w:t>
      </w:r>
      <w:r>
        <w:rPr>
          <w:rFonts w:hint="eastAsia" w:ascii="方正仿宋_GB2312" w:hAnsi="方正仿宋_GB2312" w:eastAsia="方正仿宋_GB2312" w:cs="方正仿宋_GB2312"/>
          <w:kern w:val="2"/>
          <w:sz w:val="32"/>
          <w:szCs w:val="32"/>
          <w:lang w:val="en-US" w:eastAsia="zh-CN" w:bidi="ar-SA"/>
        </w:rPr>
        <w:t>31</w:t>
      </w:r>
      <w:r>
        <w:rPr>
          <w:rFonts w:hint="default" w:ascii="方正仿宋_GB2312" w:hAnsi="方正仿宋_GB2312" w:eastAsia="方正仿宋_GB2312" w:cs="方正仿宋_GB2312"/>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黑体" w:hAnsi="黑体" w:eastAsia="黑体" w:cs="黑体"/>
          <w:b w:val="0"/>
          <w:bCs w:val="0"/>
          <w:sz w:val="32"/>
          <w:szCs w:val="32"/>
          <w:lang w:val="en-US" w:eastAsia="zh-CN"/>
        </w:rPr>
        <w:t>五、申报地点</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kern w:val="2"/>
          <w:sz w:val="32"/>
          <w:szCs w:val="32"/>
          <w:lang w:val="en-US" w:eastAsia="zh-CN" w:bidi="ar-SA"/>
        </w:rPr>
        <w:t>将相关材料邮寄或现场报送至厦门市海沧区海沧大道701号文广集团大厦A栋606单元，联系人：蔡龙泉，电话：13235926592。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六、审核拨付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（一）</w:t>
      </w:r>
      <w:r>
        <w:rPr>
          <w:rFonts w:hint="eastAsia" w:ascii="楷体_GB2312" w:hAnsi="楷体_GB2312" w:eastAsia="楷体_GB2312" w:cs="楷体_GB2312"/>
          <w:b/>
          <w:bCs/>
          <w:sz w:val="32"/>
          <w:szCs w:val="32"/>
          <w:lang w:val="en-US" w:eastAsia="zh-CN"/>
        </w:rPr>
        <w:t>审核认定</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kern w:val="2"/>
          <w:sz w:val="32"/>
          <w:szCs w:val="32"/>
          <w:lang w:val="en-US" w:eastAsia="zh-CN" w:bidi="ar-SA"/>
        </w:rPr>
        <w:t>区文旅局会同区文发办对申报材料进行审核，审核结果通过海沧区政府网向社会公示，接受社会监督，公示时间为5个工作日。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2" w:firstLineChars="200"/>
        <w:jc w:val="both"/>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b/>
          <w:bCs/>
          <w:color w:val="auto"/>
          <w:kern w:val="0"/>
          <w:sz w:val="32"/>
          <w:szCs w:val="32"/>
          <w:highlight w:val="none"/>
          <w:lang w:val="en-US" w:eastAsia="zh-CN" w:bidi="ar"/>
        </w:rPr>
        <w:t>（二）资金拨付</w:t>
      </w:r>
      <w:r>
        <w:rPr>
          <w:rFonts w:hint="eastAsia" w:ascii="方正仿宋_GB2312" w:hAnsi="方正仿宋_GB2312" w:eastAsia="方正仿宋_GB2312" w:cs="方正仿宋_GB2312"/>
          <w:b/>
          <w:bCs/>
          <w:sz w:val="32"/>
          <w:szCs w:val="32"/>
          <w:lang w:val="en-US" w:eastAsia="zh-CN"/>
        </w:rPr>
        <w:t>：</w:t>
      </w:r>
      <w:r>
        <w:rPr>
          <w:rFonts w:hint="eastAsia" w:ascii="方正仿宋_GB2312" w:hAnsi="方正仿宋_GB2312" w:eastAsia="方正仿宋_GB2312" w:cs="方正仿宋_GB2312"/>
          <w:kern w:val="2"/>
          <w:sz w:val="32"/>
          <w:szCs w:val="32"/>
          <w:lang w:val="en-US" w:eastAsia="zh-CN" w:bidi="ar-SA"/>
        </w:rPr>
        <w:t>经公示，无异议，区政府研究后，由区文旅局根据财政资金管理规定和流程拨付装修补助资金。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Cs/>
          <w:sz w:val="32"/>
          <w:szCs w:val="32"/>
          <w:lang w:eastAsia="zh-CN"/>
        </w:rPr>
        <w:t>七</w:t>
      </w:r>
      <w:r>
        <w:rPr>
          <w:rFonts w:hint="eastAsia" w:ascii="黑体" w:hAnsi="黑体" w:eastAsia="黑体" w:cs="黑体"/>
          <w:bCs/>
          <w:sz w:val="32"/>
          <w:szCs w:val="32"/>
        </w:rPr>
        <w:t>、</w:t>
      </w:r>
      <w:r>
        <w:rPr>
          <w:rFonts w:hint="eastAsia" w:ascii="黑体" w:hAnsi="黑体" w:eastAsia="黑体" w:cs="黑体"/>
          <w:bCs/>
          <w:sz w:val="32"/>
          <w:szCs w:val="32"/>
          <w:lang w:eastAsia="zh-CN"/>
        </w:rPr>
        <w:t>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申报企业存在下述情形的，区文旅局有权全额收回已拨付资金。在此期间及资金收回后的2年内，区文旅局不再受理其任何财政资金扶持项目的申报工作：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1.存在涉黑涉恶情形的。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highlight w:val="none"/>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2.被列入严重失信主体名单的市场主体。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3.企业行为危及文化安全或产生较大社会负面影响的。</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highlight w:val="none"/>
          <w:lang w:val="en-US" w:eastAsia="zh-CN" w:bidi="ar-SA"/>
        </w:rPr>
        <w:t>4.存在其他违反法律或相关规定的行为。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5.申报主体伪造、虚报数据骗取扶持资金。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附件：海沧区促进智能视听产业发展扶持资金申报表</w:t>
      </w:r>
    </w:p>
    <w:p>
      <w:pPr>
        <w:keepNext w:val="0"/>
        <w:keepLines w:val="0"/>
        <w:pageBreakBefore w:val="0"/>
        <w:kinsoku/>
        <w:wordWrap/>
        <w:overflowPunct/>
        <w:topLinePunct w:val="0"/>
        <w:autoSpaceDE/>
        <w:autoSpaceDN/>
        <w:bidi w:val="0"/>
        <w:snapToGrid/>
        <w:spacing w:line="560" w:lineRule="exact"/>
        <w:ind w:firstLine="629"/>
        <w:textAlignment w:val="auto"/>
        <w:rPr>
          <w:rFonts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kinsoku/>
        <w:wordWrap/>
        <w:overflowPunct/>
        <w:topLinePunct w:val="0"/>
        <w:autoSpaceDE/>
        <w:autoSpaceDN/>
        <w:bidi w:val="0"/>
        <w:snapToGrid/>
        <w:spacing w:line="560" w:lineRule="exact"/>
        <w:textAlignment w:val="auto"/>
        <w:rPr>
          <w:rFonts w:hint="eastAsia" w:ascii="黑体" w:hAnsi="黑体" w:eastAsia="黑体" w:cs="方正小标宋简体"/>
          <w:bCs/>
          <w:spacing w:val="-8"/>
          <w:sz w:val="32"/>
          <w:szCs w:val="32"/>
        </w:rPr>
      </w:pPr>
      <w:r>
        <w:rPr>
          <w:rFonts w:hint="eastAsia" w:ascii="黑体" w:hAnsi="黑体" w:eastAsia="黑体" w:cs="方正小标宋简体"/>
          <w:bCs/>
          <w:spacing w:val="-8"/>
          <w:sz w:val="32"/>
          <w:szCs w:val="32"/>
        </w:rPr>
        <w:br w:type="page"/>
      </w:r>
    </w:p>
    <w:p>
      <w:pPr>
        <w:keepNext w:val="0"/>
        <w:keepLines w:val="0"/>
        <w:pageBreakBefore w:val="0"/>
        <w:kinsoku/>
        <w:wordWrap/>
        <w:overflowPunct/>
        <w:topLinePunct w:val="0"/>
        <w:autoSpaceDE/>
        <w:autoSpaceDN/>
        <w:bidi w:val="0"/>
        <w:snapToGrid/>
        <w:spacing w:line="560" w:lineRule="exact"/>
        <w:textAlignment w:val="auto"/>
        <w:rPr>
          <w:rFonts w:hint="eastAsia" w:ascii="楷体_GB2312" w:hAnsi="楷体_GB2312" w:eastAsia="楷体_GB2312" w:cs="楷体_GB2312"/>
          <w:bCs/>
          <w:spacing w:val="-8"/>
          <w:sz w:val="32"/>
          <w:szCs w:val="32"/>
          <w:lang w:eastAsia="zh-CN"/>
        </w:rPr>
      </w:pPr>
      <w:r>
        <w:rPr>
          <w:rFonts w:hint="eastAsia" w:ascii="楷体_GB2312" w:hAnsi="楷体_GB2312" w:eastAsia="楷体_GB2312" w:cs="楷体_GB2312"/>
          <w:bCs/>
          <w:spacing w:val="-8"/>
          <w:sz w:val="32"/>
          <w:szCs w:val="32"/>
        </w:rPr>
        <w:t>附件</w:t>
      </w:r>
      <w:r>
        <w:rPr>
          <w:rFonts w:hint="eastAsia" w:ascii="楷体_GB2312" w:hAnsi="楷体_GB2312" w:eastAsia="楷体_GB2312" w:cs="楷体_GB2312"/>
          <w:bCs/>
          <w:spacing w:val="-8"/>
          <w:sz w:val="32"/>
          <w:szCs w:val="32"/>
          <w:lang w:eastAsia="zh-CN"/>
        </w:rPr>
        <w:t>：</w:t>
      </w: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kinsoku/>
        <w:wordWrap/>
        <w:overflowPunct/>
        <w:topLinePunct w:val="0"/>
        <w:autoSpaceDE/>
        <w:autoSpaceDN/>
        <w:bidi w:val="0"/>
        <w:snapToGrid/>
        <w:spacing w:line="560" w:lineRule="exact"/>
        <w:ind w:left="-297" w:right="-506"/>
        <w:jc w:val="center"/>
        <w:textAlignment w:val="auto"/>
        <w:rPr>
          <w:b/>
          <w:sz w:val="44"/>
          <w:szCs w:val="44"/>
        </w:rPr>
      </w:pPr>
      <w:r>
        <w:rPr>
          <w:rFonts w:hint="eastAsia"/>
          <w:b/>
          <w:sz w:val="44"/>
          <w:szCs w:val="44"/>
        </w:rPr>
        <w:t>海</w:t>
      </w:r>
      <w:r>
        <w:rPr>
          <w:b/>
          <w:sz w:val="44"/>
          <w:szCs w:val="44"/>
        </w:rPr>
        <w:t>沧区促进</w:t>
      </w:r>
      <w:r>
        <w:rPr>
          <w:rFonts w:hint="eastAsia"/>
          <w:b/>
          <w:sz w:val="44"/>
          <w:szCs w:val="44"/>
        </w:rPr>
        <w:t>智能视听</w:t>
      </w:r>
      <w:r>
        <w:rPr>
          <w:b/>
          <w:sz w:val="44"/>
          <w:szCs w:val="44"/>
        </w:rPr>
        <w:t>产业发展</w:t>
      </w:r>
      <w:r>
        <w:rPr>
          <w:rFonts w:hint="eastAsia"/>
          <w:b/>
          <w:sz w:val="44"/>
          <w:szCs w:val="44"/>
        </w:rPr>
        <w:t>扶持</w:t>
      </w:r>
      <w:r>
        <w:rPr>
          <w:b/>
          <w:sz w:val="44"/>
          <w:szCs w:val="44"/>
        </w:rPr>
        <w:t>资金申报表</w:t>
      </w: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pStyle w:val="2"/>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华文中宋" w:eastAsia="华文中宋"/>
          <w:sz w:val="48"/>
          <w:szCs w:val="48"/>
        </w:rPr>
      </w:pP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rPr>
      </w:pPr>
      <w:r>
        <w:rPr>
          <w:rFonts w:hint="eastAsia" w:ascii="华文中宋" w:eastAsia="华文中宋"/>
          <w:sz w:val="32"/>
          <w:szCs w:val="32"/>
        </w:rPr>
        <w:t xml:space="preserve">      </w:t>
      </w:r>
      <w:r>
        <w:rPr>
          <w:rFonts w:hint="eastAsia" w:ascii="宋体" w:hAnsi="宋体"/>
          <w:b/>
          <w:bCs/>
          <w:sz w:val="32"/>
          <w:szCs w:val="32"/>
        </w:rPr>
        <w:t xml:space="preserve"> 申报单位：</w:t>
      </w:r>
      <w:r>
        <w:rPr>
          <w:rFonts w:hint="eastAsia" w:ascii="宋体" w:hAnsi="宋体"/>
          <w:b/>
          <w:bCs/>
          <w:sz w:val="32"/>
          <w:szCs w:val="32"/>
          <w:u w:val="single"/>
        </w:rPr>
        <w:t xml:space="preserve">                         </w:t>
      </w:r>
      <w:r>
        <w:rPr>
          <w:rFonts w:hint="eastAsia" w:ascii="宋体" w:hAnsi="宋体"/>
          <w:b/>
          <w:bCs/>
          <w:sz w:val="32"/>
          <w:szCs w:val="32"/>
        </w:rPr>
        <w:t>（盖章）</w:t>
      </w: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u w:val="single"/>
        </w:rPr>
      </w:pPr>
      <w:r>
        <w:rPr>
          <w:rFonts w:hint="eastAsia" w:ascii="宋体" w:hAnsi="宋体"/>
          <w:b/>
          <w:bCs/>
          <w:sz w:val="32"/>
          <w:szCs w:val="32"/>
        </w:rPr>
        <w:t xml:space="preserve">       联 系 人：</w:t>
      </w:r>
      <w:r>
        <w:rPr>
          <w:rFonts w:hint="eastAsia" w:ascii="宋体" w:hAnsi="宋体"/>
          <w:b/>
          <w:bCs/>
          <w:sz w:val="32"/>
          <w:szCs w:val="32"/>
          <w:u w:val="single"/>
        </w:rPr>
        <w:t xml:space="preserve">                         </w:t>
      </w: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u w:val="single"/>
        </w:rPr>
      </w:pPr>
      <w:r>
        <w:rPr>
          <w:rFonts w:hint="eastAsia" w:ascii="宋体" w:hAnsi="宋体"/>
          <w:b/>
          <w:bCs/>
          <w:sz w:val="32"/>
          <w:szCs w:val="32"/>
        </w:rPr>
        <w:t xml:space="preserve">       联系电话：</w:t>
      </w:r>
      <w:r>
        <w:rPr>
          <w:rFonts w:hint="eastAsia" w:ascii="宋体" w:hAnsi="宋体"/>
          <w:b/>
          <w:bCs/>
          <w:sz w:val="32"/>
          <w:szCs w:val="32"/>
          <w:u w:val="single"/>
        </w:rPr>
        <w:t xml:space="preserve">                         </w:t>
      </w:r>
    </w:p>
    <w:p>
      <w:pPr>
        <w:keepNext w:val="0"/>
        <w:keepLines w:val="0"/>
        <w:pageBreakBefore w:val="0"/>
        <w:kinsoku/>
        <w:wordWrap/>
        <w:overflowPunct/>
        <w:topLinePunct w:val="0"/>
        <w:autoSpaceDE/>
        <w:autoSpaceDN/>
        <w:bidi w:val="0"/>
        <w:snapToGrid/>
        <w:spacing w:line="560" w:lineRule="exact"/>
        <w:textAlignment w:val="auto"/>
        <w:rPr>
          <w:rFonts w:ascii="宋体" w:hAnsi="宋体"/>
          <w:b/>
          <w:bCs/>
          <w:sz w:val="32"/>
          <w:szCs w:val="32"/>
        </w:rPr>
      </w:pPr>
      <w:r>
        <w:rPr>
          <w:rFonts w:hint="eastAsia" w:ascii="宋体" w:hAnsi="宋体"/>
          <w:b/>
          <w:bCs/>
          <w:sz w:val="32"/>
          <w:szCs w:val="32"/>
        </w:rPr>
        <w:t xml:space="preserve">       联系邮箱：</w:t>
      </w:r>
      <w:r>
        <w:rPr>
          <w:rFonts w:hint="eastAsia" w:ascii="宋体" w:hAnsi="宋体"/>
          <w:b/>
          <w:bCs/>
          <w:sz w:val="32"/>
          <w:szCs w:val="32"/>
          <w:u w:val="single"/>
        </w:rPr>
        <w:t xml:space="preserve">                         </w:t>
      </w:r>
    </w:p>
    <w:p>
      <w:pPr>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r>
        <w:rPr>
          <w:rFonts w:hint="eastAsia" w:ascii="宋体" w:hAnsi="宋体"/>
          <w:b/>
          <w:bCs/>
          <w:sz w:val="32"/>
          <w:szCs w:val="32"/>
        </w:rPr>
        <w:t xml:space="preserve">       填表时间：</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月</w:t>
      </w:r>
      <w:r>
        <w:rPr>
          <w:rFonts w:hint="eastAsia" w:ascii="宋体" w:hAnsi="宋体"/>
          <w:b/>
          <w:bCs/>
          <w:sz w:val="32"/>
          <w:szCs w:val="32"/>
          <w:u w:val="single"/>
        </w:rPr>
        <w:t xml:space="preserve">     </w:t>
      </w:r>
      <w:r>
        <w:rPr>
          <w:rFonts w:hint="eastAsia" w:ascii="宋体" w:hAnsi="宋体"/>
          <w:b/>
          <w:bCs/>
          <w:sz w:val="32"/>
          <w:szCs w:val="32"/>
        </w:rPr>
        <w:t>日</w:t>
      </w: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宋体" w:hAnsi="宋体"/>
          <w:b/>
          <w:bCs/>
          <w:sz w:val="32"/>
          <w:szCs w:val="32"/>
        </w:rPr>
      </w:pPr>
    </w:p>
    <w:tbl>
      <w:tblPr>
        <w:tblStyle w:val="9"/>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2186"/>
        <w:gridCol w:w="1894"/>
        <w:gridCol w:w="1700"/>
        <w:gridCol w:w="552"/>
        <w:gridCol w:w="2426"/>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35" w:hRule="atLeast"/>
        </w:trPr>
        <w:tc>
          <w:tcPr>
            <w:tcW w:w="8758" w:type="dxa"/>
            <w:gridSpan w:val="5"/>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34"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4"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统一社会</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信用代码</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46"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注册地址</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52"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开户行</w:t>
            </w:r>
          </w:p>
        </w:tc>
        <w:tc>
          <w:tcPr>
            <w:tcW w:w="1894"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p>
        </w:tc>
        <w:tc>
          <w:tcPr>
            <w:tcW w:w="1700"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银行账号</w:t>
            </w:r>
          </w:p>
        </w:tc>
        <w:tc>
          <w:tcPr>
            <w:tcW w:w="2978" w:type="dxa"/>
            <w:gridSpan w:val="2"/>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82" w:hRule="atLeast"/>
        </w:trPr>
        <w:tc>
          <w:tcPr>
            <w:tcW w:w="2186"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法定代表人</w:t>
            </w:r>
          </w:p>
        </w:tc>
        <w:tc>
          <w:tcPr>
            <w:tcW w:w="1894"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p>
        </w:tc>
        <w:tc>
          <w:tcPr>
            <w:tcW w:w="1700" w:type="dxa"/>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联系电话</w:t>
            </w:r>
          </w:p>
        </w:tc>
        <w:tc>
          <w:tcPr>
            <w:tcW w:w="2978" w:type="dxa"/>
            <w:gridSpan w:val="2"/>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Cs/>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1106" w:hRule="atLeast"/>
        </w:trPr>
        <w:tc>
          <w:tcPr>
            <w:tcW w:w="2186" w:type="dxa"/>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ascii="仿宋_GB2312" w:hAnsi="仿宋_GB2312" w:eastAsia="仿宋_GB2312" w:cs="仿宋_GB2312"/>
                <w:bCs/>
                <w:sz w:val="24"/>
              </w:rPr>
              <w:t>履行</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ascii="仿宋_GB2312" w:hAnsi="仿宋_GB2312" w:eastAsia="仿宋_GB2312" w:cs="仿宋_GB2312"/>
                <w:bCs/>
                <w:sz w:val="24"/>
              </w:rPr>
              <w:t>统计义务</w:t>
            </w:r>
            <w:r>
              <w:rPr>
                <w:rFonts w:hint="eastAsia" w:ascii="仿宋_GB2312" w:hAnsi="仿宋_GB2312" w:eastAsia="仿宋_GB2312" w:cs="仿宋_GB2312"/>
                <w:bCs/>
                <w:sz w:val="24"/>
              </w:rPr>
              <w:t>情</w:t>
            </w:r>
            <w:r>
              <w:rPr>
                <w:rFonts w:ascii="仿宋_GB2312" w:hAnsi="仿宋_GB2312" w:eastAsia="仿宋_GB2312" w:cs="仿宋_GB2312"/>
                <w:bCs/>
                <w:sz w:val="24"/>
              </w:rPr>
              <w:t>况</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□纳入文化产业统计名录库；</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□数字经济及其核心产业统计名录库；</w:t>
            </w:r>
          </w:p>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□信息传输、软件和信息技术服务业统计名录库；</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706" w:hRule="atLeast"/>
        </w:trPr>
        <w:tc>
          <w:tcPr>
            <w:tcW w:w="4080" w:type="dxa"/>
            <w:gridSpan w:val="2"/>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是否为首次上规企业</w:t>
            </w:r>
          </w:p>
        </w:tc>
        <w:tc>
          <w:tcPr>
            <w:tcW w:w="4678" w:type="dxa"/>
            <w:gridSpan w:val="3"/>
            <w:tcBorders>
              <w:top w:val="single" w:color="00000A" w:sz="4" w:space="0"/>
              <w:left w:val="single" w:color="auto"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4"/>
              </w:rPr>
            </w:pPr>
            <w:r>
              <w:rPr>
                <w:rFonts w:hint="eastAsia" w:ascii="仿宋_GB2312" w:hAnsi="仿宋_GB2312" w:eastAsia="仿宋_GB2312" w:cs="仿宋_GB2312"/>
                <w:bCs/>
                <w:sz w:val="24"/>
              </w:rPr>
              <w:t xml:space="preserve">  是□ /否□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9" w:hRule="atLeast"/>
        </w:trPr>
        <w:tc>
          <w:tcPr>
            <w:tcW w:w="2186" w:type="dxa"/>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Cs/>
                <w:sz w:val="24"/>
              </w:rPr>
              <w:t>企业本年度营收（万元）</w:t>
            </w:r>
          </w:p>
        </w:tc>
        <w:tc>
          <w:tcPr>
            <w:tcW w:w="1894" w:type="dxa"/>
            <w:tcBorders>
              <w:top w:val="single" w:color="00000A" w:sz="4" w:space="0"/>
              <w:left w:val="single" w:color="00000A" w:sz="4" w:space="0"/>
              <w:bottom w:val="single" w:color="00000A"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p>
        </w:tc>
        <w:tc>
          <w:tcPr>
            <w:tcW w:w="2252" w:type="dxa"/>
            <w:gridSpan w:val="2"/>
            <w:tcBorders>
              <w:top w:val="single" w:color="00000A" w:sz="4" w:space="0"/>
              <w:left w:val="single" w:color="auto"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Cs/>
                <w:sz w:val="24"/>
              </w:rPr>
            </w:pPr>
            <w:r>
              <w:rPr>
                <w:rFonts w:hint="eastAsia" w:ascii="仿宋_GB2312" w:hAnsi="仿宋_GB2312" w:eastAsia="仿宋_GB2312" w:cs="仿宋_GB2312"/>
                <w:bCs/>
                <w:sz w:val="24"/>
              </w:rPr>
              <w:t>上一年度营收</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Cs/>
                <w:sz w:val="24"/>
              </w:rPr>
              <w:t>（万元）</w:t>
            </w:r>
          </w:p>
        </w:tc>
        <w:tc>
          <w:tcPr>
            <w:tcW w:w="2426" w:type="dxa"/>
            <w:tcBorders>
              <w:top w:val="single" w:color="00000A" w:sz="4" w:space="0"/>
              <w:left w:val="single" w:color="auto"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79" w:hRule="atLeast"/>
        </w:trPr>
        <w:tc>
          <w:tcPr>
            <w:tcW w:w="8758" w:type="dxa"/>
            <w:gridSpan w:val="5"/>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jc w:val="left"/>
              <w:textAlignment w:val="auto"/>
              <w:rPr>
                <w:rFonts w:ascii="仿宋_GB2312" w:hAnsi="仿宋_GB2312" w:eastAsia="仿宋_GB2312" w:cs="仿宋_GB2312"/>
                <w:bCs/>
                <w:sz w:val="28"/>
                <w:szCs w:val="28"/>
              </w:rPr>
            </w:pPr>
            <w:r>
              <w:rPr>
                <w:rFonts w:hint="eastAsia" w:ascii="仿宋_GB2312" w:hAnsi="仿宋_GB2312" w:eastAsia="仿宋_GB2312" w:cs="仿宋_GB2312"/>
                <w:b/>
                <w:bCs/>
                <w:sz w:val="28"/>
                <w:szCs w:val="28"/>
              </w:rPr>
              <w:t>二、申报项目情况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项目扶持类型</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6"/>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鼓励智能视听企业落户中国</w:t>
            </w:r>
            <w:r>
              <w:rPr>
                <w:rFonts w:ascii="仿宋_GB2312" w:hAnsi="仿宋_GB2312" w:eastAsia="仿宋_GB2312" w:cs="仿宋_GB2312"/>
                <w:bCs/>
                <w:sz w:val="24"/>
              </w:rPr>
              <w:t>(</w:t>
            </w:r>
            <w:r>
              <w:rPr>
                <w:rFonts w:hint="eastAsia" w:ascii="仿宋_GB2312" w:hAnsi="仿宋_GB2312" w:eastAsia="仿宋_GB2312" w:cs="仿宋_GB2312"/>
                <w:bCs/>
                <w:sz w:val="24"/>
              </w:rPr>
              <w:t>厦门</w:t>
            </w:r>
            <w:r>
              <w:rPr>
                <w:rFonts w:ascii="仿宋_GB2312" w:hAnsi="仿宋_GB2312" w:eastAsia="仿宋_GB2312" w:cs="仿宋_GB2312"/>
                <w:bCs/>
                <w:sz w:val="24"/>
              </w:rPr>
              <w:t>)</w:t>
            </w:r>
            <w:r>
              <w:rPr>
                <w:rFonts w:hint="eastAsia" w:ascii="仿宋_GB2312" w:hAnsi="仿宋_GB2312" w:eastAsia="仿宋_GB2312" w:cs="仿宋_GB2312"/>
                <w:bCs/>
                <w:sz w:val="24"/>
              </w:rPr>
              <w:t>智能视听产业基地海沧拓展区</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2" name="IM 5"/>
                  <wp:cNvGraphicFramePr/>
                  <a:graphic xmlns:a="http://schemas.openxmlformats.org/drawingml/2006/main">
                    <a:graphicData uri="http://schemas.openxmlformats.org/drawingml/2006/picture">
                      <pic:pic xmlns:pic="http://schemas.openxmlformats.org/drawingml/2006/picture">
                        <pic:nvPicPr>
                          <pic:cNvPr id="2" name="IM 5"/>
                          <pic:cNvPicPr/>
                        </pic:nvPicPr>
                        <pic:blipFill>
                          <a:blip r:embed="rId7"/>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鼓励智能视听企业入统</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7"/>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支持智能视听企业降低运营成本</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rPr>
            </w:pPr>
            <w:r>
              <w:rPr>
                <w:rFonts w:ascii="仿宋_GB2312" w:hAnsi="仿宋_GB2312" w:eastAsia="仿宋_GB2312" w:cs="仿宋_GB2312"/>
                <w:bCs/>
                <w:sz w:val="24"/>
              </w:rPr>
              <w:drawing>
                <wp:inline distT="0" distB="0" distL="0" distR="0">
                  <wp:extent cx="109855" cy="111760"/>
                  <wp:effectExtent l="0" t="0" r="4445" b="2540"/>
                  <wp:docPr id="10" name="IM 7"/>
                  <wp:cNvGraphicFramePr/>
                  <a:graphic xmlns:a="http://schemas.openxmlformats.org/drawingml/2006/main">
                    <a:graphicData uri="http://schemas.openxmlformats.org/drawingml/2006/picture">
                      <pic:pic xmlns:pic="http://schemas.openxmlformats.org/drawingml/2006/picture">
                        <pic:nvPicPr>
                          <pic:cNvPr id="10" name="IM 7"/>
                          <pic:cNvPicPr/>
                        </pic:nvPicPr>
                        <pic:blipFill>
                          <a:blip r:embed="rId8"/>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支持智能视听企业作品创作生产</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rPr>
                <w:rFonts w:ascii="仿宋_GB2312" w:hAnsi="仿宋_GB2312" w:eastAsia="仿宋_GB2312" w:cs="仿宋_GB2312"/>
                <w:bCs/>
                <w:sz w:val="24"/>
                <w:highlight w:val="yellow"/>
              </w:rPr>
            </w:pPr>
            <w:r>
              <w:rPr>
                <w:rFonts w:ascii="仿宋_GB2312" w:hAnsi="仿宋_GB2312" w:eastAsia="仿宋_GB2312" w:cs="仿宋_GB2312"/>
                <w:bCs/>
                <w:sz w:val="24"/>
              </w:rPr>
              <w:drawing>
                <wp:inline distT="0" distB="0" distL="0" distR="0">
                  <wp:extent cx="109855" cy="111760"/>
                  <wp:effectExtent l="0" t="0" r="4445" b="2540"/>
                  <wp:docPr id="11" name="IM 8"/>
                  <wp:cNvGraphicFramePr/>
                  <a:graphic xmlns:a="http://schemas.openxmlformats.org/drawingml/2006/main">
                    <a:graphicData uri="http://schemas.openxmlformats.org/drawingml/2006/picture">
                      <pic:pic xmlns:pic="http://schemas.openxmlformats.org/drawingml/2006/picture">
                        <pic:nvPicPr>
                          <pic:cNvPr id="11" name="IM 8"/>
                          <pic:cNvPicPr/>
                        </pic:nvPicPr>
                        <pic:blipFill>
                          <a:blip r:embed="rId8"/>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w:t>
            </w:r>
            <w:r>
              <w:rPr>
                <w:rFonts w:hint="eastAsia" w:ascii="仿宋_GB2312" w:hAnsi="仿宋_GB2312" w:eastAsia="仿宋_GB2312" w:cs="仿宋_GB2312"/>
                <w:bCs/>
                <w:sz w:val="24"/>
                <w:highlight w:val="none"/>
              </w:rPr>
              <w:t>支持基地拓展区产业服务</w:t>
            </w:r>
            <w:r>
              <w:rPr>
                <w:rFonts w:hint="eastAsia" w:ascii="方正仿宋_GB2312" w:hAnsi="方正仿宋_GB2312" w:eastAsia="方正仿宋_GB2312" w:cs="方正仿宋_GB2312"/>
                <w:bCs/>
                <w:sz w:val="24"/>
                <w:highlight w:val="none"/>
              </w:rPr>
              <w:t>平台建设</w:t>
            </w:r>
            <w:r>
              <w:rPr>
                <w:rFonts w:hint="eastAsia" w:ascii="仿宋_GB2312" w:hAnsi="仿宋_GB2312" w:eastAsia="仿宋_GB2312" w:cs="仿宋_GB2312"/>
                <w:bCs/>
                <w:sz w:val="24"/>
                <w:highlight w:val="none"/>
              </w:rPr>
              <w:t>和发展</w:t>
            </w:r>
          </w:p>
          <w:p>
            <w:pPr>
              <w:keepNext w:val="0"/>
              <w:keepLines w:val="0"/>
              <w:pageBreakBefore w:val="0"/>
              <w:widowControl w:val="0"/>
              <w:kinsoku/>
              <w:wordWrap/>
              <w:overflowPunct/>
              <w:topLinePunct w:val="0"/>
              <w:autoSpaceDE/>
              <w:autoSpaceDN/>
              <w:bidi w:val="0"/>
              <w:adjustRightInd/>
              <w:snapToGrid/>
              <w:spacing w:line="480" w:lineRule="exact"/>
              <w:ind w:left="125"/>
              <w:textAlignment w:val="auto"/>
            </w:pPr>
            <w:r>
              <w:rPr>
                <w:rFonts w:ascii="仿宋_GB2312" w:hAnsi="仿宋_GB2312" w:eastAsia="仿宋_GB2312" w:cs="仿宋_GB2312"/>
                <w:bCs/>
                <w:sz w:val="24"/>
              </w:rPr>
              <w:drawing>
                <wp:inline distT="0" distB="0" distL="0" distR="0">
                  <wp:extent cx="109855" cy="111760"/>
                  <wp:effectExtent l="0" t="0" r="4445" b="2540"/>
                  <wp:docPr id="12" name="IM 9"/>
                  <wp:cNvGraphicFramePr/>
                  <a:graphic xmlns:a="http://schemas.openxmlformats.org/drawingml/2006/main">
                    <a:graphicData uri="http://schemas.openxmlformats.org/drawingml/2006/picture">
                      <pic:pic xmlns:pic="http://schemas.openxmlformats.org/drawingml/2006/picture">
                        <pic:nvPicPr>
                          <pic:cNvPr id="12" name="IM 9"/>
                          <pic:cNvPicPr/>
                        </pic:nvPicPr>
                        <pic:blipFill>
                          <a:blip r:embed="rId6"/>
                          <a:stretch>
                            <a:fillRect/>
                          </a:stretch>
                        </pic:blipFill>
                        <pic:spPr>
                          <a:xfrm>
                            <a:off x="0" y="0"/>
                            <a:ext cx="110185" cy="111861"/>
                          </a:xfrm>
                          <a:prstGeom prst="rect">
                            <a:avLst/>
                          </a:prstGeom>
                        </pic:spPr>
                      </pic:pic>
                    </a:graphicData>
                  </a:graphic>
                </wp:inline>
              </w:drawing>
            </w:r>
            <w:r>
              <w:rPr>
                <w:rFonts w:hint="eastAsia" w:ascii="仿宋_GB2312" w:hAnsi="仿宋_GB2312" w:eastAsia="仿宋_GB2312" w:cs="仿宋_GB2312"/>
                <w:bCs/>
                <w:sz w:val="24"/>
              </w:rPr>
              <w:t xml:space="preserve"> 鼓励视听作品出口</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668"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申报项目</w:t>
            </w:r>
            <w:r>
              <w:rPr>
                <w:rFonts w:hint="eastAsia" w:ascii="仿宋_GB2312" w:hAnsi="仿宋_GB2312" w:eastAsia="仿宋_GB2312" w:cs="仿宋_GB2312"/>
                <w:b/>
                <w:bCs/>
                <w:sz w:val="24"/>
                <w:lang w:eastAsia="zh-CN"/>
              </w:rPr>
              <w:t>各级</w:t>
            </w:r>
            <w:r>
              <w:rPr>
                <w:rFonts w:hint="eastAsia" w:ascii="仿宋_GB2312" w:hAnsi="仿宋_GB2312" w:eastAsia="仿宋_GB2312" w:cs="仿宋_GB2312"/>
                <w:b/>
                <w:bCs/>
                <w:sz w:val="24"/>
              </w:rPr>
              <w:t>政策兑现情况</w:t>
            </w:r>
          </w:p>
        </w:tc>
        <w:tc>
          <w:tcPr>
            <w:tcW w:w="6572" w:type="dxa"/>
            <w:gridSpan w:val="4"/>
            <w:tcBorders>
              <w:top w:val="single" w:color="00000A" w:sz="4" w:space="0"/>
              <w:left w:val="single" w:color="00000A" w:sz="4" w:space="0"/>
              <w:bottom w:val="single" w:color="00000A" w:sz="4" w:space="0"/>
              <w:right w:val="single" w:color="00000A" w:sz="4" w:space="0"/>
            </w:tcBorders>
          </w:tcPr>
          <w:p>
            <w:pPr>
              <w:pStyle w:val="2"/>
              <w:keepNext w:val="0"/>
              <w:keepLines w:val="0"/>
              <w:pageBreakBefore w:val="0"/>
              <w:widowControl w:val="0"/>
              <w:kinsoku/>
              <w:wordWrap/>
              <w:overflowPunct/>
              <w:topLinePunct w:val="0"/>
              <w:autoSpaceDE/>
              <w:autoSpaceDN/>
              <w:bidi w:val="0"/>
              <w:snapToGrid/>
              <w:spacing w:line="480" w:lineRule="exact"/>
              <w:textAlignment w:val="auto"/>
            </w:pPr>
          </w:p>
          <w:p>
            <w:pPr>
              <w:pStyle w:val="2"/>
              <w:keepNext w:val="0"/>
              <w:keepLines w:val="0"/>
              <w:pageBreakBefore w:val="0"/>
              <w:widowControl w:val="0"/>
              <w:kinsoku/>
              <w:wordWrap/>
              <w:overflowPunct/>
              <w:topLinePunct w:val="0"/>
              <w:autoSpaceDE/>
              <w:autoSpaceDN/>
              <w:bidi w:val="0"/>
              <w:snapToGrid/>
              <w:spacing w:line="480" w:lineRule="exact"/>
              <w:textAlignment w:val="auto"/>
            </w:pPr>
          </w:p>
          <w:p>
            <w:pPr>
              <w:pStyle w:val="2"/>
              <w:keepNext w:val="0"/>
              <w:keepLines w:val="0"/>
              <w:pageBreakBefore w:val="0"/>
              <w:widowControl w:val="0"/>
              <w:kinsoku/>
              <w:wordWrap/>
              <w:overflowPunct/>
              <w:topLinePunct w:val="0"/>
              <w:autoSpaceDE/>
              <w:autoSpaceDN/>
              <w:bidi w:val="0"/>
              <w:snapToGrid/>
              <w:spacing w:line="480" w:lineRule="exact"/>
              <w:textAlignment w:val="auto"/>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1445"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申报补助或奖励</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4"/>
              </w:rPr>
            </w:pPr>
            <w:r>
              <w:rPr>
                <w:rFonts w:hint="eastAsia" w:ascii="仿宋_GB2312" w:hAnsi="仿宋_GB2312" w:eastAsia="仿宋_GB2312" w:cs="仿宋_GB2312"/>
                <w:b/>
                <w:bCs/>
                <w:sz w:val="24"/>
              </w:rPr>
              <w:t>金额</w:t>
            </w:r>
          </w:p>
        </w:tc>
        <w:tc>
          <w:tcPr>
            <w:tcW w:w="6572" w:type="dxa"/>
            <w:gridSpan w:val="4"/>
            <w:tcBorders>
              <w:top w:val="single" w:color="00000A" w:sz="4" w:space="0"/>
              <w:left w:val="single" w:color="00000A" w:sz="4" w:space="0"/>
              <w:bottom w:val="single" w:color="00000A" w:sz="4" w:space="0"/>
              <w:right w:val="single" w:color="00000A" w:sz="4" w:space="0"/>
            </w:tcBorders>
          </w:tcPr>
          <w:p>
            <w:pPr>
              <w:pStyle w:val="2"/>
              <w:keepNext w:val="0"/>
              <w:keepLines w:val="0"/>
              <w:pageBreakBefore w:val="0"/>
              <w:widowControl w:val="0"/>
              <w:kinsoku/>
              <w:wordWrap/>
              <w:overflowPunct/>
              <w:topLinePunct w:val="0"/>
              <w:autoSpaceDE/>
              <w:autoSpaceDN/>
              <w:bidi w:val="0"/>
              <w:snapToGrid/>
              <w:spacing w:line="480" w:lineRule="exact"/>
              <w:textAlignment w:val="auto"/>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3406"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ind w:firstLine="702" w:firstLineChars="250"/>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说明</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bCs/>
                <w:sz w:val="24"/>
                <w:highlight w:val="none"/>
              </w:rPr>
            </w:pPr>
            <w:r>
              <w:rPr>
                <w:rFonts w:hint="eastAsia" w:ascii="仿宋_GB2312" w:hAnsi="仿宋_GB2312" w:eastAsia="仿宋_GB2312" w:cs="仿宋_GB2312"/>
                <w:bCs/>
                <w:sz w:val="24"/>
              </w:rPr>
              <w:t>（</w:t>
            </w:r>
            <w:r>
              <w:rPr>
                <w:rFonts w:hint="eastAsia" w:ascii="仿宋_GB2312" w:hAnsi="仿宋_GB2312" w:eastAsia="仿宋_GB2312" w:cs="仿宋_GB2312"/>
                <w:bCs/>
                <w:sz w:val="24"/>
                <w:highlight w:val="none"/>
                <w:lang w:eastAsia="zh-CN"/>
              </w:rPr>
              <w:t>简述</w:t>
            </w:r>
            <w:r>
              <w:rPr>
                <w:rFonts w:hint="eastAsia" w:ascii="仿宋_GB2312" w:hAnsi="仿宋_GB2312" w:eastAsia="仿宋_GB2312" w:cs="仿宋_GB2312"/>
                <w:bCs/>
                <w:sz w:val="24"/>
                <w:highlight w:val="none"/>
              </w:rPr>
              <w:t>不超过500字</w:t>
            </w:r>
            <w:r>
              <w:rPr>
                <w:rFonts w:hint="eastAsia" w:ascii="仿宋_GB2312" w:hAnsi="仿宋_GB2312" w:eastAsia="仿宋_GB2312" w:cs="仿宋_GB2312"/>
                <w:bCs/>
                <w:sz w:val="24"/>
                <w:highlight w:val="none"/>
                <w:lang w:eastAsia="zh-CN"/>
              </w:rPr>
              <w:t>，包括但不限于：</w:t>
            </w:r>
            <w:r>
              <w:rPr>
                <w:rFonts w:hint="eastAsia" w:ascii="仿宋_GB2312" w:hAnsi="仿宋_GB2312" w:eastAsia="仿宋_GB2312" w:cs="仿宋_GB2312"/>
                <w:bCs/>
                <w:sz w:val="24"/>
                <w:highlight w:val="none"/>
                <w:lang w:val="en-US" w:eastAsia="zh-CN"/>
              </w:rPr>
              <w:t>1.企业简介；2.企业2023年7月至2024年6月营收数据；3.企业主营业务情况介绍，企业主营业务收入占比；4.申报项目的情况说明，包含租赁办公空间面积，装修金额，申请奖励金额等实际情况</w:t>
            </w:r>
            <w:r>
              <w:rPr>
                <w:rFonts w:hint="eastAsia" w:ascii="仿宋_GB2312" w:hAnsi="仿宋_GB2312" w:eastAsia="仿宋_GB2312" w:cs="仿宋_GB2312"/>
                <w:bCs/>
                <w:sz w:val="24"/>
                <w:highlight w:val="none"/>
              </w:rPr>
              <w:t>。）</w:t>
            </w:r>
          </w:p>
          <w:p>
            <w:pPr>
              <w:pStyle w:val="2"/>
              <w:keepNext w:val="0"/>
              <w:keepLines w:val="0"/>
              <w:pageBreakBefore w:val="0"/>
              <w:widowControl w:val="0"/>
              <w:kinsoku/>
              <w:wordWrap/>
              <w:overflowPunct/>
              <w:topLinePunct w:val="0"/>
              <w:autoSpaceDE/>
              <w:autoSpaceDN/>
              <w:bidi w:val="0"/>
              <w:snapToGrid/>
              <w:spacing w:line="480" w:lineRule="exact"/>
              <w:textAlignment w:val="auto"/>
              <w:rPr>
                <w:highlight w:val="none"/>
              </w:rPr>
            </w:pPr>
          </w:p>
          <w:p>
            <w:pPr>
              <w:keepNext w:val="0"/>
              <w:keepLines w:val="0"/>
              <w:pageBreakBefore w:val="0"/>
              <w:widowControl w:val="0"/>
              <w:kinsoku/>
              <w:wordWrap/>
              <w:overflowPunct/>
              <w:topLinePunct w:val="0"/>
              <w:autoSpaceDE/>
              <w:autoSpaceDN/>
              <w:bidi w:val="0"/>
              <w:adjustRightInd w:val="0"/>
              <w:snapToGrid/>
              <w:spacing w:line="480" w:lineRule="exact"/>
              <w:textAlignment w:val="auto"/>
              <w:rPr>
                <w:rFonts w:ascii="仿宋_GB2312" w:hAnsi="仿宋_GB2312" w:eastAsia="仿宋_GB2312" w:cs="仿宋_GB2312"/>
                <w:sz w:val="24"/>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940"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申报</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企业</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承诺</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ind w:firstLine="551"/>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rPr>
              <w:t>我司郑重承诺，此次申报材料均真实有效，如因我司提供的材料真实性问题而导致的一切后果和法律责任均由我公司承担</w:t>
            </w:r>
            <w:r>
              <w:rPr>
                <w:rFonts w:hint="eastAsia" w:ascii="仿宋_GB2312" w:hAnsi="仿宋_GB2312" w:eastAsia="仿宋_GB2312" w:cs="仿宋_GB2312"/>
                <w:sz w:val="24"/>
                <w:lang w:eastAsia="zh-CN"/>
              </w:rPr>
              <w:t>，且我司未享受各级同类补助。</w:t>
            </w:r>
          </w:p>
          <w:p>
            <w:pPr>
              <w:keepNext w:val="0"/>
              <w:keepLines w:val="0"/>
              <w:pageBreakBefore w:val="0"/>
              <w:widowControl w:val="0"/>
              <w:kinsoku/>
              <w:wordWrap/>
              <w:overflowPunct/>
              <w:topLinePunct w:val="0"/>
              <w:autoSpaceDE/>
              <w:autoSpaceDN/>
              <w:bidi w:val="0"/>
              <w:adjustRightInd w:val="0"/>
              <w:snapToGrid/>
              <w:spacing w:line="480" w:lineRule="exact"/>
              <w:ind w:firstLine="551"/>
              <w:textAlignment w:val="auto"/>
              <w:rPr>
                <w:rFonts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adjustRightInd w:val="0"/>
              <w:snapToGrid/>
              <w:spacing w:line="480" w:lineRule="exact"/>
              <w:ind w:firstLine="2642"/>
              <w:textAlignment w:val="auto"/>
              <w:rPr>
                <w:rFonts w:ascii="仿宋_GB2312" w:hAnsi="仿宋_GB2312" w:eastAsia="仿宋_GB2312" w:cs="仿宋_GB2312"/>
                <w:sz w:val="24"/>
              </w:rPr>
            </w:pPr>
            <w:r>
              <w:rPr>
                <w:rFonts w:hint="eastAsia" w:ascii="仿宋_GB2312" w:hAnsi="仿宋_GB2312" w:eastAsia="仿宋_GB2312" w:cs="仿宋_GB2312"/>
                <w:sz w:val="24"/>
              </w:rPr>
              <w:t xml:space="preserve">公司法定代表人（签字）： </w:t>
            </w:r>
          </w:p>
          <w:p>
            <w:pPr>
              <w:keepNext w:val="0"/>
              <w:keepLines w:val="0"/>
              <w:pageBreakBefore w:val="0"/>
              <w:widowControl w:val="0"/>
              <w:kinsoku/>
              <w:wordWrap/>
              <w:overflowPunct/>
              <w:topLinePunct w:val="0"/>
              <w:autoSpaceDE/>
              <w:autoSpaceDN/>
              <w:bidi w:val="0"/>
              <w:adjustRightInd w:val="0"/>
              <w:snapToGrid/>
              <w:spacing w:line="480" w:lineRule="exact"/>
              <w:ind w:firstLine="3486"/>
              <w:textAlignment w:val="auto"/>
              <w:rPr>
                <w:rFonts w:ascii="仿宋_GB2312" w:hAnsi="仿宋_GB2312" w:eastAsia="仿宋_GB2312" w:cs="仿宋_GB2312"/>
                <w:b/>
                <w:bCs/>
                <w:sz w:val="28"/>
                <w:szCs w:val="28"/>
              </w:rPr>
            </w:pPr>
            <w:r>
              <w:rPr>
                <w:rFonts w:hint="eastAsia" w:ascii="仿宋_GB2312" w:hAnsi="仿宋_GB2312" w:eastAsia="仿宋_GB2312" w:cs="仿宋_GB2312"/>
                <w:sz w:val="24"/>
              </w:rPr>
              <w:t xml:space="preserve">企业(盖章):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453"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snapToGrid/>
              <w:spacing w:line="480" w:lineRule="exact"/>
              <w:textAlignment w:val="auto"/>
            </w:pPr>
          </w:p>
          <w:p>
            <w:pPr>
              <w:keepNext w:val="0"/>
              <w:keepLines w:val="0"/>
              <w:pageBreakBefore w:val="0"/>
              <w:widowControl w:val="0"/>
              <w:shd w:val="clear"/>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 xml:space="preserve">受理 </w:t>
            </w:r>
          </w:p>
          <w:p>
            <w:pPr>
              <w:keepNext w:val="0"/>
              <w:keepLines w:val="0"/>
              <w:pageBreakBefore w:val="0"/>
              <w:widowControl w:val="0"/>
              <w:shd w:val="clear"/>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建议</w:t>
            </w:r>
          </w:p>
        </w:tc>
        <w:tc>
          <w:tcPr>
            <w:tcW w:w="6572" w:type="dxa"/>
            <w:gridSpan w:val="4"/>
            <w:tcBorders>
              <w:top w:val="single" w:color="00000A" w:sz="4" w:space="0"/>
              <w:left w:val="single" w:color="00000A" w:sz="4" w:space="0"/>
              <w:bottom w:val="single" w:color="00000A" w:sz="4" w:space="0"/>
              <w:right w:val="single" w:color="00000A" w:sz="4" w:space="0"/>
            </w:tcBorders>
          </w:tcPr>
          <w:p>
            <w:pPr>
              <w:keepNext w:val="0"/>
              <w:keepLines w:val="0"/>
              <w:pageBreakBefore w:val="0"/>
              <w:widowControl w:val="0"/>
              <w:kinsoku/>
              <w:wordWrap/>
              <w:overflowPunct/>
              <w:topLinePunct w:val="0"/>
              <w:autoSpaceDE/>
              <w:autoSpaceDN/>
              <w:bidi w:val="0"/>
              <w:adjustRightInd w:val="0"/>
              <w:snapToGrid/>
              <w:spacing w:line="480" w:lineRule="exact"/>
              <w:ind w:firstLine="555"/>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2"/>
              <w:keepNext w:val="0"/>
              <w:keepLines w:val="0"/>
              <w:pageBreakBefore w:val="0"/>
              <w:widowControl w:val="0"/>
              <w:kinsoku/>
              <w:wordWrap/>
              <w:overflowPunct/>
              <w:topLinePunct w:val="0"/>
              <w:autoSpaceDE/>
              <w:autoSpaceDN/>
              <w:bidi w:val="0"/>
              <w:snapToGrid/>
              <w:spacing w:line="480" w:lineRule="exact"/>
              <w:textAlignment w:val="auto"/>
            </w:pPr>
          </w:p>
          <w:p>
            <w:pPr>
              <w:keepNext w:val="0"/>
              <w:keepLines w:val="0"/>
              <w:pageBreakBefore w:val="0"/>
              <w:widowControl w:val="0"/>
              <w:kinsoku/>
              <w:wordWrap/>
              <w:overflowPunct/>
              <w:topLinePunct w:val="0"/>
              <w:autoSpaceDE/>
              <w:autoSpaceDN/>
              <w:bidi w:val="0"/>
              <w:adjustRightInd w:val="0"/>
              <w:snapToGrid/>
              <w:spacing w:line="480" w:lineRule="exact"/>
              <w:ind w:firstLine="551"/>
              <w:jc w:val="center"/>
              <w:textAlignment w:val="auto"/>
              <w:rPr>
                <w:rFonts w:ascii="仿宋_GB2312" w:hAnsi="仿宋_GB2312" w:eastAsia="仿宋_GB2312" w:cs="仿宋_GB2312"/>
                <w:sz w:val="24"/>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4"/>
              </w:rPr>
              <w:t>盖  章</w:t>
            </w:r>
          </w:p>
          <w:p>
            <w:pPr>
              <w:keepNext w:val="0"/>
              <w:keepLines w:val="0"/>
              <w:pageBreakBefore w:val="0"/>
              <w:widowControl w:val="0"/>
              <w:kinsoku/>
              <w:wordWrap/>
              <w:overflowPunct/>
              <w:topLinePunct w:val="0"/>
              <w:autoSpaceDE/>
              <w:autoSpaceDN/>
              <w:bidi w:val="0"/>
              <w:adjustRightInd w:val="0"/>
              <w:snapToGrid/>
              <w:spacing w:line="480" w:lineRule="exact"/>
              <w:ind w:firstLine="551"/>
              <w:jc w:val="right"/>
              <w:textAlignment w:val="auto"/>
              <w:rPr>
                <w:rFonts w:ascii="仿宋_GB2312" w:hAnsi="仿宋_GB2312" w:eastAsia="仿宋_GB2312" w:cs="仿宋_GB2312"/>
                <w:sz w:val="28"/>
                <w:szCs w:val="28"/>
              </w:rPr>
            </w:pPr>
            <w:r>
              <w:rPr>
                <w:rFonts w:hint="eastAsia" w:ascii="仿宋_GB2312" w:hAnsi="仿宋_GB2312" w:eastAsia="仿宋_GB2312" w:cs="仿宋_GB2312"/>
                <w:sz w:val="24"/>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985" w:hRule="atLeast"/>
        </w:trPr>
        <w:tc>
          <w:tcPr>
            <w:tcW w:w="2186" w:type="dxa"/>
            <w:tcBorders>
              <w:top w:val="single" w:color="00000A" w:sz="4" w:space="0"/>
              <w:left w:val="single" w:color="00000A" w:sz="4" w:space="0"/>
              <w:bottom w:val="single" w:color="00000A" w:sz="4" w:space="0"/>
              <w:right w:val="single" w:color="00000A" w:sz="4" w:space="0"/>
            </w:tcBorders>
            <w:vAlign w:val="center"/>
          </w:tcPr>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区文旅局</w:t>
            </w:r>
          </w:p>
          <w:p>
            <w:pPr>
              <w:keepNext w:val="0"/>
              <w:keepLines w:val="0"/>
              <w:pageBreakBefore w:val="0"/>
              <w:widowControl w:val="0"/>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区文发办</w:t>
            </w:r>
          </w:p>
          <w:p>
            <w:pPr>
              <w:pStyle w:val="2"/>
              <w:keepNext w:val="0"/>
              <w:keepLines w:val="0"/>
              <w:pageBreakBefore w:val="0"/>
              <w:widowControl w:val="0"/>
              <w:kinsoku/>
              <w:wordWrap/>
              <w:overflowPunct/>
              <w:topLinePunct w:val="0"/>
              <w:autoSpaceDE/>
              <w:autoSpaceDN/>
              <w:bidi w:val="0"/>
              <w:snapToGrid/>
              <w:spacing w:line="480" w:lineRule="exact"/>
              <w:ind w:left="0" w:leftChars="0" w:firstLine="0" w:firstLineChars="0"/>
              <w:jc w:val="center"/>
              <w:textAlignment w:val="auto"/>
              <w:rPr>
                <w:rFonts w:hint="eastAsia"/>
                <w:highlight w:val="none"/>
                <w:lang w:eastAsia="zh-CN"/>
              </w:rPr>
            </w:pPr>
            <w:r>
              <w:rPr>
                <w:rFonts w:hint="eastAsia" w:ascii="仿宋_GB2312" w:hAnsi="仿宋_GB2312" w:eastAsia="仿宋_GB2312" w:cs="仿宋_GB2312"/>
                <w:b/>
                <w:bCs/>
                <w:kern w:val="2"/>
                <w:sz w:val="28"/>
                <w:szCs w:val="28"/>
                <w:highlight w:val="none"/>
                <w:lang w:val="en-US" w:eastAsia="zh-CN" w:bidi="ar-SA"/>
              </w:rPr>
              <w:t>审核意见</w:t>
            </w:r>
          </w:p>
        </w:tc>
        <w:tc>
          <w:tcPr>
            <w:tcW w:w="6572" w:type="dxa"/>
            <w:gridSpan w:val="4"/>
            <w:tcBorders>
              <w:top w:val="single" w:color="00000A" w:sz="4" w:space="0"/>
              <w:left w:val="single" w:color="00000A" w:sz="4" w:space="0"/>
              <w:bottom w:val="single" w:color="00000A" w:sz="4" w:space="0"/>
              <w:right w:val="single" w:color="00000A" w:sz="4" w:space="0"/>
            </w:tcBorders>
          </w:tcPr>
          <w:p>
            <w:pPr>
              <w:pStyle w:val="2"/>
              <w:keepNext w:val="0"/>
              <w:keepLines w:val="0"/>
              <w:pageBreakBefore w:val="0"/>
              <w:widowControl w:val="0"/>
              <w:kinsoku/>
              <w:wordWrap/>
              <w:overflowPunct/>
              <w:topLinePunct w:val="0"/>
              <w:autoSpaceDE/>
              <w:autoSpaceDN/>
              <w:bidi w:val="0"/>
              <w:snapToGrid/>
              <w:spacing w:line="48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val="0"/>
              <w:snapToGrid/>
              <w:spacing w:line="480" w:lineRule="exact"/>
              <w:ind w:firstLine="551"/>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val="0"/>
              <w:snapToGrid/>
              <w:spacing w:line="480" w:lineRule="exact"/>
              <w:ind w:firstLine="960" w:firstLineChars="40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val="0"/>
              <w:snapToGrid/>
              <w:spacing w:line="480" w:lineRule="exact"/>
              <w:ind w:firstLine="960" w:firstLineChars="400"/>
              <w:jc w:val="left"/>
              <w:textAlignment w:val="auto"/>
              <w:rPr>
                <w:rFonts w:hint="eastAsia" w:ascii="仿宋_GB2312" w:hAnsi="仿宋_GB2312" w:eastAsia="仿宋_GB2312" w:cs="仿宋_GB2312"/>
                <w:sz w:val="24"/>
                <w:lang w:val="en-US" w:eastAsia="zh-CN"/>
              </w:rPr>
            </w:pPr>
          </w:p>
          <w:p>
            <w:pPr>
              <w:keepNext w:val="0"/>
              <w:keepLines w:val="0"/>
              <w:pageBreakBefore w:val="0"/>
              <w:widowControl w:val="0"/>
              <w:kinsoku/>
              <w:wordWrap/>
              <w:overflowPunct/>
              <w:topLinePunct w:val="0"/>
              <w:autoSpaceDE/>
              <w:autoSpaceDN/>
              <w:bidi w:val="0"/>
              <w:adjustRightInd w:val="0"/>
              <w:snapToGrid/>
              <w:spacing w:line="480" w:lineRule="exact"/>
              <w:ind w:firstLine="960" w:firstLineChars="400"/>
              <w:jc w:val="left"/>
              <w:textAlignment w:val="auto"/>
              <w:rPr>
                <w:rFonts w:ascii="仿宋_GB2312" w:hAnsi="仿宋_GB2312" w:eastAsia="仿宋_GB2312" w:cs="仿宋_GB2312"/>
                <w:sz w:val="24"/>
              </w:rPr>
            </w:pPr>
            <w:r>
              <w:rPr>
                <w:rFonts w:hint="eastAsia" w:ascii="仿宋_GB2312" w:hAnsi="仿宋_GB2312" w:eastAsia="仿宋_GB2312" w:cs="仿宋_GB2312"/>
                <w:sz w:val="24"/>
                <w:lang w:val="en-US" w:eastAsia="zh-CN"/>
              </w:rPr>
              <w:t>区</w:t>
            </w:r>
            <w:r>
              <w:rPr>
                <w:rFonts w:hint="eastAsia" w:ascii="仿宋_GB2312" w:hAnsi="仿宋_GB2312" w:eastAsia="仿宋_GB2312" w:cs="仿宋_GB2312"/>
                <w:sz w:val="24"/>
              </w:rPr>
              <w:t>文旅局盖章</w:t>
            </w:r>
            <w:r>
              <w:rPr>
                <w:rFonts w:hint="eastAsia" w:ascii="仿宋_GB2312" w:hAnsi="仿宋_GB2312" w:eastAsia="仿宋_GB2312" w:cs="仿宋_GB2312"/>
                <w:sz w:val="24"/>
                <w:lang w:val="en-US" w:eastAsia="zh-CN"/>
              </w:rPr>
              <w:t xml:space="preserve">              区文发办</w:t>
            </w:r>
            <w:r>
              <w:rPr>
                <w:rFonts w:hint="eastAsia" w:ascii="仿宋_GB2312" w:hAnsi="仿宋_GB2312" w:eastAsia="仿宋_GB2312" w:cs="仿宋_GB2312"/>
                <w:sz w:val="24"/>
              </w:rPr>
              <w:t>盖章</w:t>
            </w:r>
          </w:p>
          <w:p>
            <w:pPr>
              <w:keepNext w:val="0"/>
              <w:keepLines w:val="0"/>
              <w:pageBreakBefore w:val="0"/>
              <w:widowControl w:val="0"/>
              <w:kinsoku/>
              <w:wordWrap/>
              <w:overflowPunct/>
              <w:topLinePunct w:val="0"/>
              <w:autoSpaceDE/>
              <w:autoSpaceDN/>
              <w:bidi w:val="0"/>
              <w:adjustRightInd w:val="0"/>
              <w:snapToGrid/>
              <w:spacing w:line="48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年   月   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4"/>
              </w:rPr>
              <w:t>年   月   日</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p>
        </w:tc>
      </w:tr>
    </w:tbl>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hint="default" w:ascii="黑体" w:hAnsi="黑体" w:eastAsia="黑体" w:cs="黑体"/>
          <w:b w:val="0"/>
          <w:bCs w:val="0"/>
          <w:sz w:val="32"/>
          <w:szCs w:val="32"/>
          <w:lang w:val="en-US" w:eastAsia="zh-CN"/>
        </w:rPr>
      </w:pPr>
    </w:p>
    <w:sectPr>
      <w:footerReference r:id="rId3" w:type="default"/>
      <w:footerReference r:id="rId4" w:type="even"/>
      <w:pgSz w:w="11906" w:h="16838"/>
      <w:pgMar w:top="1417" w:right="1417" w:bottom="1417" w:left="1474" w:header="851"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EU-B1"/>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EU-B1"/>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EU-B1">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MTVjNGVlNzkyYjAwMTZjNTRjNzQ0MTlkM2I2MGQifQ=="/>
  </w:docVars>
  <w:rsids>
    <w:rsidRoot w:val="00172A27"/>
    <w:rsid w:val="011D6E67"/>
    <w:rsid w:val="03FD6699"/>
    <w:rsid w:val="04D62599"/>
    <w:rsid w:val="0B6C2EF2"/>
    <w:rsid w:val="0DB54E80"/>
    <w:rsid w:val="0FA3121A"/>
    <w:rsid w:val="11D82211"/>
    <w:rsid w:val="1730506A"/>
    <w:rsid w:val="18F74D02"/>
    <w:rsid w:val="19D3216D"/>
    <w:rsid w:val="1A724270"/>
    <w:rsid w:val="1C237F47"/>
    <w:rsid w:val="1FFF8327"/>
    <w:rsid w:val="21742685"/>
    <w:rsid w:val="22D32730"/>
    <w:rsid w:val="23DF3E70"/>
    <w:rsid w:val="25733004"/>
    <w:rsid w:val="2DC1585E"/>
    <w:rsid w:val="2EC60C76"/>
    <w:rsid w:val="33BE5F44"/>
    <w:rsid w:val="3690198F"/>
    <w:rsid w:val="3AEB27C4"/>
    <w:rsid w:val="3C4265EA"/>
    <w:rsid w:val="3E88660D"/>
    <w:rsid w:val="45D70C20"/>
    <w:rsid w:val="4B391DE9"/>
    <w:rsid w:val="4BF76E19"/>
    <w:rsid w:val="4C930041"/>
    <w:rsid w:val="50342624"/>
    <w:rsid w:val="53AD4B2F"/>
    <w:rsid w:val="55EB606A"/>
    <w:rsid w:val="5C782A8B"/>
    <w:rsid w:val="5C9D2FDF"/>
    <w:rsid w:val="5DE663E4"/>
    <w:rsid w:val="5E37E0EB"/>
    <w:rsid w:val="5F6FD8DE"/>
    <w:rsid w:val="5F8F27FF"/>
    <w:rsid w:val="5FE7308A"/>
    <w:rsid w:val="674843B0"/>
    <w:rsid w:val="67C795EE"/>
    <w:rsid w:val="6BFDFB02"/>
    <w:rsid w:val="6BFE1498"/>
    <w:rsid w:val="6E7777C5"/>
    <w:rsid w:val="6F5E6B7A"/>
    <w:rsid w:val="6FD25527"/>
    <w:rsid w:val="737D24F2"/>
    <w:rsid w:val="73DC0194"/>
    <w:rsid w:val="74BE1D7A"/>
    <w:rsid w:val="757E735E"/>
    <w:rsid w:val="76760936"/>
    <w:rsid w:val="775FE058"/>
    <w:rsid w:val="777FAFF9"/>
    <w:rsid w:val="77C73918"/>
    <w:rsid w:val="77DF3DDB"/>
    <w:rsid w:val="7BDD5B8C"/>
    <w:rsid w:val="7BFF8669"/>
    <w:rsid w:val="7E7E90E7"/>
    <w:rsid w:val="7EEF2D24"/>
    <w:rsid w:val="7F9BF73F"/>
    <w:rsid w:val="7FDFCF2F"/>
    <w:rsid w:val="7FFFF90D"/>
    <w:rsid w:val="8E2E24DC"/>
    <w:rsid w:val="8E7FB3D0"/>
    <w:rsid w:val="8FFFB079"/>
    <w:rsid w:val="ABFEEA19"/>
    <w:rsid w:val="B7DBD554"/>
    <w:rsid w:val="BEEFB8A0"/>
    <w:rsid w:val="BF3F9C2B"/>
    <w:rsid w:val="D3EE2C1A"/>
    <w:rsid w:val="DD4CD190"/>
    <w:rsid w:val="DF7C5439"/>
    <w:rsid w:val="DFEE9500"/>
    <w:rsid w:val="E33D9E71"/>
    <w:rsid w:val="E3BF9EA1"/>
    <w:rsid w:val="E69DA3C6"/>
    <w:rsid w:val="EBAF49F4"/>
    <w:rsid w:val="EEA74E4B"/>
    <w:rsid w:val="EFAC7951"/>
    <w:rsid w:val="EFFF08F2"/>
    <w:rsid w:val="FBBFAF03"/>
    <w:rsid w:val="FC7E562B"/>
    <w:rsid w:val="FDB300B3"/>
    <w:rsid w:val="FF978BD9"/>
    <w:rsid w:val="FFBA4CF7"/>
    <w:rsid w:val="FFBE4C0A"/>
    <w:rsid w:val="FFBE7FA3"/>
    <w:rsid w:val="FFCEEEE8"/>
    <w:rsid w:val="FFE37DC2"/>
    <w:rsid w:val="FFFA6907"/>
    <w:rsid w:val="FFFC1C69"/>
    <w:rsid w:val="FFFDB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widowControl/>
      <w:spacing w:before="100" w:beforeLines="0" w:after="90" w:afterLines="0" w:line="576" w:lineRule="auto"/>
      <w:ind w:firstLine="315"/>
      <w:outlineLvl w:val="0"/>
    </w:pPr>
    <w:rPr>
      <w:b/>
      <w:bCs/>
      <w:kern w:val="36"/>
      <w:sz w:val="32"/>
      <w:szCs w:val="32"/>
    </w:rPr>
  </w:style>
  <w:style w:type="character" w:default="1" w:styleId="10">
    <w:name w:val="Default Paragraph Font"/>
    <w:unhideWhenUsed/>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4">
    <w:name w:val="Body Text"/>
    <w:basedOn w:val="1"/>
    <w:unhideWhenUsed/>
    <w:qFormat/>
    <w:uiPriority w:val="99"/>
    <w:pPr>
      <w:spacing w:after="120" w:afterLines="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w:basedOn w:val="4"/>
    <w:unhideWhenUsed/>
    <w:qFormat/>
    <w:uiPriority w:val="99"/>
    <w:pPr>
      <w:ind w:firstLine="420" w:firstLineChars="100"/>
    </w:pPr>
    <w:rPr>
      <w:kern w:val="0"/>
      <w:sz w:val="20"/>
      <w:szCs w:val="20"/>
    </w:rPr>
  </w:style>
  <w:style w:type="character" w:styleId="11">
    <w:name w:val="page number"/>
    <w:basedOn w:val="10"/>
    <w:unhideWhenUsed/>
    <w:qFormat/>
    <w:uiPriority w:val="99"/>
  </w:style>
  <w:style w:type="paragraph" w:customStyle="1" w:styleId="12">
    <w:name w:val="UserStyle_0"/>
    <w:basedOn w:val="1"/>
    <w:unhideWhenUsed/>
    <w:qFormat/>
    <w:uiPriority w:val="0"/>
    <w:pPr>
      <w:spacing w:after="160" w:line="240" w:lineRule="exact"/>
      <w:jc w:val="left"/>
    </w:pPr>
    <w:rPr>
      <w:rFonts w:hint="eastAsia" w:ascii="Verdana" w:hAnsi="Verdana"/>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7</Pages>
  <Words>1981</Words>
  <Characters>2049</Characters>
  <Lines>1</Lines>
  <Paragraphs>1</Paragraphs>
  <TotalTime>11</TotalTime>
  <ScaleCrop>false</ScaleCrop>
  <LinksUpToDate>false</LinksUpToDate>
  <CharactersWithSpaces>2444</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2009-01-07T16:45:00Z</dcterms:created>
  <dc:creator>陈林</dc:creator>
  <cp:lastModifiedBy>xmadmin</cp:lastModifiedBy>
  <cp:lastPrinted>2024-08-09T02:23:00Z</cp:lastPrinted>
  <dcterms:modified xsi:type="dcterms:W3CDTF">2024-08-16T16:08:44Z</dcterms:modified>
  <dc:title>关于集中办公事宜的通知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D7AC5FCB1A5380780C09BF66E2DB7C69</vt:lpwstr>
  </property>
</Properties>
</file>