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5AE1E">
      <w:pPr>
        <w:spacing w:line="580" w:lineRule="exact"/>
        <w:ind w:right="934" w:rightChars="4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附件1.2：</w:t>
      </w:r>
    </w:p>
    <w:p w14:paraId="77458212">
      <w:pPr>
        <w:spacing w:line="580" w:lineRule="exact"/>
        <w:ind w:right="934" w:rightChars="445"/>
        <w:jc w:val="left"/>
        <w:rPr>
          <w:rFonts w:ascii="仿宋_GB2312" w:hAnsi="仿宋_GB2312" w:eastAsia="仿宋_GB2312" w:cs="仿宋_GB2312"/>
          <w:sz w:val="32"/>
          <w:szCs w:val="32"/>
        </w:rPr>
      </w:pPr>
    </w:p>
    <w:p w14:paraId="409BF030">
      <w:pPr>
        <w:spacing w:line="580" w:lineRule="exact"/>
        <w:jc w:val="center"/>
        <w:rPr>
          <w:rFonts w:hint="eastAsia" w:ascii="黑体" w:hAnsi="黑体" w:eastAsia="黑体" w:cs="黑体"/>
          <w:sz w:val="36"/>
          <w:szCs w:val="36"/>
        </w:rPr>
      </w:pPr>
      <w:r>
        <w:rPr>
          <w:rFonts w:hint="eastAsia" w:ascii="黑体" w:hAnsi="黑体" w:eastAsia="黑体" w:cs="黑体"/>
          <w:sz w:val="36"/>
          <w:szCs w:val="36"/>
        </w:rPr>
        <w:t>申报202</w:t>
      </w:r>
      <w:r>
        <w:rPr>
          <w:rFonts w:hint="eastAsia" w:ascii="黑体" w:hAnsi="黑体" w:eastAsia="黑体" w:cs="黑体"/>
          <w:sz w:val="36"/>
          <w:szCs w:val="36"/>
          <w:lang w:val="en-US" w:eastAsia="zh-CN"/>
        </w:rPr>
        <w:t>4</w:t>
      </w:r>
      <w:r>
        <w:rPr>
          <w:rFonts w:hint="eastAsia" w:ascii="黑体" w:hAnsi="黑体" w:eastAsia="黑体" w:cs="黑体"/>
          <w:sz w:val="36"/>
          <w:szCs w:val="36"/>
        </w:rPr>
        <w:t>年度生物医药行业高级工程师</w:t>
      </w:r>
    </w:p>
    <w:p w14:paraId="395A40D2">
      <w:pPr>
        <w:spacing w:line="580" w:lineRule="exact"/>
        <w:jc w:val="center"/>
        <w:rPr>
          <w:rFonts w:ascii="方正小标宋简体" w:hAnsi="方正小标宋简体" w:eastAsia="方正小标宋简体" w:cs="方正小标宋简体"/>
          <w:sz w:val="44"/>
          <w:szCs w:val="44"/>
        </w:rPr>
      </w:pPr>
      <w:r>
        <w:rPr>
          <w:rFonts w:hint="eastAsia" w:ascii="黑体" w:hAnsi="黑体" w:eastAsia="黑体" w:cs="黑体"/>
          <w:sz w:val="36"/>
          <w:szCs w:val="36"/>
        </w:rPr>
        <w:t>材料及要求</w:t>
      </w:r>
    </w:p>
    <w:p w14:paraId="56759AE5">
      <w:pPr>
        <w:keepNext w:val="0"/>
        <w:keepLines w:val="0"/>
        <w:pageBreakBefore w:val="0"/>
        <w:kinsoku/>
        <w:wordWrap/>
        <w:overflowPunct/>
        <w:topLinePunct w:val="0"/>
        <w:autoSpaceDE/>
        <w:autoSpaceDN/>
        <w:bidi w:val="0"/>
        <w:adjustRightInd/>
        <w:snapToGrid/>
        <w:spacing w:after="120" w:line="560" w:lineRule="exact"/>
        <w:ind w:firstLine="640" w:firstLineChars="200"/>
        <w:textAlignment w:val="auto"/>
        <w:rPr>
          <w:rFonts w:ascii="仿宋_GB2312" w:hAnsi="仿宋_GB2312" w:eastAsia="仿宋_GB2312" w:cs="仿宋_GB2312"/>
          <w:sz w:val="32"/>
          <w:szCs w:val="32"/>
        </w:rPr>
      </w:pPr>
    </w:p>
    <w:p w14:paraId="78C41E87">
      <w:pPr>
        <w:keepNext w:val="0"/>
        <w:keepLines w:val="0"/>
        <w:pageBreakBefore w:val="0"/>
        <w:kinsoku/>
        <w:wordWrap/>
        <w:overflowPunct/>
        <w:topLinePunct w:val="0"/>
        <w:autoSpaceDE/>
        <w:autoSpaceDN/>
        <w:bidi w:val="0"/>
        <w:adjustRightInd/>
        <w:snapToGrid/>
        <w:spacing w:after="120" w:line="52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一、申报要求</w:t>
      </w:r>
    </w:p>
    <w:p w14:paraId="47B2558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left="0" w:righ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人所在工作单位应对申报人提交的学历、学位、专业技术工作资历、论文论著、奖项、科研成果，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在评审表中推荐意见中注明“经审核和公示，公示期为2025年×月×日至2025年×月×日，该同志申报材料真实无异议，符合高级工程师（××专业）职称申报条件，同意推荐”。 对提交的复印件须与原件核对，逐项签署核对人姓名和审查意见，并加盖单位公章。申报材料经申报单位公示并确认提交后，即不可修改。</w:t>
      </w:r>
    </w:p>
    <w:p w14:paraId="4943A4E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left="0" w:righ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报人员学历专业原则上应为与申报职称专业相关的理工类专业，不具备的视为不符合学历要求，另有规定除外。申报人员须根据自己现从事专业技术工作进行对口申报，申报专业应与所学专业、现从事专业岗位一致或相近，否则应按学历破格条件申报。</w:t>
      </w:r>
    </w:p>
    <w:p w14:paraId="7844108D">
      <w:pPr>
        <w:keepNext w:val="0"/>
        <w:keepLines w:val="0"/>
        <w:pageBreakBefore w:val="0"/>
        <w:kinsoku/>
        <w:wordWrap/>
        <w:overflowPunct/>
        <w:topLinePunct w:val="0"/>
        <w:autoSpaceDE/>
        <w:autoSpaceDN/>
        <w:bidi w:val="0"/>
        <w:adjustRightInd/>
        <w:snapToGrid/>
        <w:spacing w:after="120"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破格申报</w:t>
      </w:r>
      <w:r>
        <w:rPr>
          <w:rFonts w:hint="eastAsia" w:ascii="仿宋_GB2312" w:hAnsi="仿宋_GB2312" w:eastAsia="仿宋_GB2312" w:cs="仿宋_GB2312"/>
          <w:kern w:val="2"/>
          <w:sz w:val="32"/>
          <w:szCs w:val="32"/>
          <w:lang w:val="en-US" w:eastAsia="zh-CN" w:bidi="ar-SA"/>
        </w:rPr>
        <w:t>人员</w:t>
      </w:r>
      <w:r>
        <w:rPr>
          <w:rFonts w:hint="default" w:ascii="仿宋_GB2312" w:hAnsi="仿宋_GB2312" w:eastAsia="仿宋_GB2312" w:cs="仿宋_GB2312"/>
          <w:kern w:val="2"/>
          <w:sz w:val="32"/>
          <w:szCs w:val="32"/>
          <w:lang w:val="en-US" w:eastAsia="zh-CN" w:bidi="ar-SA"/>
        </w:rPr>
        <w:t>，应符合《福建省工程系列职称评审条件》（闽工信职改〔2023〕19号）文件规定的申报条件，并按学历或资历破格的不同申报要求提供相关证明、材料，同时在</w:t>
      </w:r>
      <w:r>
        <w:rPr>
          <w:rFonts w:hint="eastAsia" w:ascii="仿宋_GB2312" w:hAnsi="仿宋_GB2312" w:eastAsia="仿宋_GB2312" w:cs="仿宋_GB2312"/>
          <w:kern w:val="2"/>
          <w:sz w:val="32"/>
          <w:szCs w:val="32"/>
          <w:lang w:val="en-US" w:eastAsia="zh-CN" w:bidi="ar-SA"/>
        </w:rPr>
        <w:t>破格</w:t>
      </w:r>
      <w:r>
        <w:rPr>
          <w:rFonts w:hint="default" w:ascii="仿宋_GB2312" w:hAnsi="仿宋_GB2312" w:eastAsia="仿宋_GB2312" w:cs="仿宋_GB2312"/>
          <w:kern w:val="2"/>
          <w:sz w:val="32"/>
          <w:szCs w:val="32"/>
          <w:lang w:val="en-US" w:eastAsia="zh-CN" w:bidi="ar-SA"/>
        </w:rPr>
        <w:t>备注栏中注明符合文件的哪条破格申报条款。</w:t>
      </w:r>
    </w:p>
    <w:p w14:paraId="01623B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四）</w:t>
      </w:r>
      <w:r>
        <w:rPr>
          <w:rFonts w:hint="default" w:ascii="仿宋_GB2312" w:hAnsi="仿宋_GB2312" w:eastAsia="仿宋_GB2312" w:cs="仿宋_GB2312"/>
          <w:kern w:val="2"/>
          <w:sz w:val="32"/>
          <w:szCs w:val="32"/>
          <w:lang w:val="en-US" w:eastAsia="zh-CN" w:bidi="ar-SA"/>
        </w:rPr>
        <w:t>同一理论、业绩成果在同一年度申报评审时不得重复使用。</w:t>
      </w:r>
      <w:r>
        <w:rPr>
          <w:rFonts w:hint="eastAsia" w:ascii="仿宋_GB2312" w:hAnsi="仿宋_GB2312" w:eastAsia="仿宋_GB2312" w:cs="仿宋_GB2312"/>
          <w:kern w:val="2"/>
          <w:sz w:val="32"/>
          <w:szCs w:val="32"/>
          <w:lang w:val="en-US" w:eastAsia="zh-CN" w:bidi="ar-SA"/>
        </w:rPr>
        <w:t>曾被否决的再次申报人员，应补充新的理论、业绩成果（业绩、奖项、论文等相关职称材料）</w:t>
      </w:r>
      <w:r>
        <w:rPr>
          <w:rFonts w:hint="default" w:ascii="仿宋_GB2312" w:hAnsi="仿宋_GB2312" w:eastAsia="仿宋_GB2312" w:cs="仿宋_GB2312"/>
          <w:kern w:val="2"/>
          <w:sz w:val="32"/>
          <w:szCs w:val="32"/>
          <w:lang w:val="en-US" w:eastAsia="zh-CN" w:bidi="ar-SA"/>
        </w:rPr>
        <w:t>，未补充新业绩、论文材料的不予受理。</w:t>
      </w:r>
    </w:p>
    <w:p w14:paraId="2A65BF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Pr>
        <w:t>（五</w:t>
      </w:r>
      <w:r>
        <w:rPr>
          <w:rFonts w:hint="eastAsia" w:ascii="仿宋_GB2312" w:hAnsi="仿宋_GB2312" w:eastAsia="仿宋_GB2312" w:cs="仿宋_GB2312"/>
          <w:kern w:val="2"/>
          <w:sz w:val="32"/>
          <w:szCs w:val="32"/>
          <w:lang w:val="en-US" w:eastAsia="zh-CN" w:bidi="ar-SA"/>
        </w:rPr>
        <w:t>）在申报过程中弄虚作假、徇私舞弊者，一经举报查实，取消其申报资格，3年内不得申报。已评审确认任职资格的，按照有关规定撤销其任职资格，并追究相关人员的责任。</w:t>
      </w:r>
    </w:p>
    <w:p w14:paraId="6E9BEFB9">
      <w:pPr>
        <w:keepNext w:val="0"/>
        <w:keepLines w:val="0"/>
        <w:pageBreakBefore w:val="0"/>
        <w:kinsoku/>
        <w:wordWrap/>
        <w:overflowPunct/>
        <w:topLinePunct w:val="0"/>
        <w:autoSpaceDE/>
        <w:autoSpaceDN/>
        <w:bidi w:val="0"/>
        <w:adjustRightInd/>
        <w:snapToGrid/>
        <w:spacing w:after="120" w:line="52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二、申报材料</w:t>
      </w:r>
    </w:p>
    <w:p w14:paraId="6F48793A">
      <w:pPr>
        <w:keepNext w:val="0"/>
        <w:keepLines w:val="0"/>
        <w:pageBreakBefore w:val="0"/>
        <w:kinsoku/>
        <w:wordWrap/>
        <w:overflowPunct/>
        <w:topLinePunct w:val="0"/>
        <w:autoSpaceDE/>
        <w:autoSpaceDN/>
        <w:bidi w:val="0"/>
        <w:adjustRightInd/>
        <w:snapToGrid/>
        <w:spacing w:after="120"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申报材料统一用牛皮纸档案袋报送，档案袋上加贴《申报202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年度生物医药行业高级工程师材料清单》（附件2.2）。</w:t>
      </w:r>
    </w:p>
    <w:p w14:paraId="4A5F8B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（一）表格</w:t>
      </w:r>
    </w:p>
    <w:p w14:paraId="18D3BC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"http://www.xmzcps.com/JSEWeb/app_web/Declare/DeclareInfoPrintDocumentFind.aspx?AutoFind=1&amp;SourceRedirectPage=/JSEWeb/app_web/Declare/javascript:__doPostBack('GVList$ctl02$DocumentName','')"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《专业技术职务任职资格评审表》</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以下简称《评审表》）、《申报工程系列高级专业技术职务任职资格人员简明表》（以下简称《简明表》）均在“职称申报评审系统”填报完整资料后，由系统自动生成表格后下载（现场审核交件时，请下载打印并提交“受理部门审核通过”之后的最新版本）、双面打印、按要求签字并加盖所在单位的公章，均须原章原印、复印件无效。</w:t>
      </w:r>
    </w:p>
    <w:p w14:paraId="51E240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1.《评审表》一式2份（A4纸打印）。</w:t>
      </w:r>
    </w:p>
    <w:p w14:paraId="3F2616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（1）主管部门意见。《评审表》中“主管部门意见”栏须经具有档案管理权限的档案管理部门审核盖章，或出具档案存放证明（档案存放证明一式2份，A4纸彩色打印，装订在《评审表》最后一页）。</w:t>
      </w:r>
    </w:p>
    <w:p w14:paraId="75325F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①人事档案关系不在厦门市管理的专业技术人员，与我市用人单位签有正式聘用合同或劳动合同，并参加我市社会保险一年以上，可通过现工作单位，按规定程序申报职称。</w:t>
      </w:r>
    </w:p>
    <w:p w14:paraId="1DDE42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职改办方可在厦参评，委托函随申报材料一并提交）；若人事档案归属我市（区）人才服务中心管理的分支机构人员，可选择在厦参评职称，也可选择由我市职改部门委托到单位法人所在地职改部门参评职称。</w:t>
      </w:r>
    </w:p>
    <w:p w14:paraId="6E5739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③人事档案在具有工程专业技术职称评审职能的档案管理机构（人才服务机构）的工程技术人员，应在该机构参加职称评审。</w:t>
      </w:r>
    </w:p>
    <w:p w14:paraId="152F9B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年度及任职期满考核结果。非公有制经济组织专业技术人员“年度及任期考核结果”可使用“年度及任职期满考核结果模板”（附件3），须每一年度分开考核，一式2份（A4纸打印），均须原章原印、复印件无效；</w:t>
      </w:r>
      <w:r>
        <w:rPr>
          <w:rFonts w:hint="eastAsia" w:ascii="仿宋_GB2312" w:hAnsi="仿宋_GB2312" w:eastAsia="仿宋_GB2312" w:cs="仿宋_GB2312"/>
          <w:b/>
          <w:bCs/>
          <w:kern w:val="2"/>
          <w:sz w:val="32"/>
          <w:szCs w:val="32"/>
          <w:lang w:val="en-US" w:eastAsia="zh-CN" w:bidi="ar-SA"/>
        </w:rPr>
        <w:t>国有企业须提交原先放入档案中的年度考核表复印件并加盖单位公章。</w:t>
      </w:r>
      <w:r>
        <w:rPr>
          <w:rFonts w:hint="eastAsia" w:ascii="仿宋_GB2312" w:hAnsi="仿宋_GB2312" w:eastAsia="仿宋_GB2312" w:cs="仿宋_GB2312"/>
          <w:kern w:val="2"/>
          <w:sz w:val="32"/>
          <w:szCs w:val="32"/>
          <w:lang w:val="en-US" w:eastAsia="zh-CN" w:bidi="ar-SA"/>
        </w:rPr>
        <w:t>任职期间工作单位有变动，应由任职期间所在单位提供“年度及任职期满考核结果”。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14:paraId="5E6D2C54">
      <w:pPr>
        <w:pStyle w:val="6"/>
        <w:keepNext w:val="0"/>
        <w:keepLines w:val="0"/>
        <w:pageBreakBefore w:val="0"/>
        <w:kinsoku/>
        <w:wordWrap/>
        <w:overflowPunct/>
        <w:topLinePunct w:val="0"/>
        <w:autoSpaceDE/>
        <w:autoSpaceDN/>
        <w:bidi w:val="0"/>
        <w:adjustRightInd/>
        <w:snapToGrid/>
        <w:spacing w:before="0" w:beforeAutospacing="0" w:after="120" w:afterAutospacing="0" w:line="52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2.《简明</w:t>
      </w:r>
      <w:r>
        <w:rPr>
          <w:rFonts w:hint="eastAsia" w:ascii="仿宋_GB2312" w:hAnsi="仿宋_GB2312" w:eastAsia="仿宋_GB2312" w:cs="仿宋_GB2312"/>
          <w:color w:val="000000" w:themeColor="text1"/>
          <w:kern w:val="2"/>
          <w:sz w:val="32"/>
          <w:szCs w:val="32"/>
        </w:rPr>
        <w:t>表》一式</w:t>
      </w:r>
      <w:r>
        <w:rPr>
          <w:rFonts w:hint="eastAsia" w:ascii="仿宋_GB2312" w:hAnsi="仿宋_GB2312" w:eastAsia="仿宋_GB2312" w:cs="仿宋_GB2312"/>
          <w:color w:val="000000" w:themeColor="text1"/>
          <w:kern w:val="2"/>
          <w:sz w:val="32"/>
          <w:szCs w:val="32"/>
          <w:lang w:val="en-US" w:eastAsia="zh-CN"/>
        </w:rPr>
        <w:t>5</w:t>
      </w:r>
      <w:r>
        <w:rPr>
          <w:rFonts w:hint="eastAsia" w:ascii="仿宋_GB2312" w:hAnsi="仿宋_GB2312" w:eastAsia="仿宋_GB2312" w:cs="仿宋_GB2312"/>
          <w:color w:val="000000" w:themeColor="text1"/>
          <w:kern w:val="2"/>
          <w:sz w:val="32"/>
          <w:szCs w:val="32"/>
        </w:rPr>
        <w:t>份</w:t>
      </w:r>
      <w:r>
        <w:rPr>
          <w:rFonts w:hint="eastAsia" w:ascii="仿宋_GB2312" w:hAnsi="仿宋_GB2312" w:eastAsia="仿宋_GB2312" w:cs="仿宋_GB2312"/>
          <w:kern w:val="2"/>
          <w:sz w:val="32"/>
          <w:szCs w:val="32"/>
        </w:rPr>
        <w:t>（A3纸打印）。</w:t>
      </w:r>
    </w:p>
    <w:p w14:paraId="1D4A8083">
      <w:pPr>
        <w:pStyle w:val="6"/>
        <w:keepNext w:val="0"/>
        <w:keepLines w:val="0"/>
        <w:pageBreakBefore w:val="0"/>
        <w:numPr>
          <w:ilvl w:val="255"/>
          <w:numId w:val="0"/>
        </w:numPr>
        <w:kinsoku/>
        <w:wordWrap/>
        <w:overflowPunct/>
        <w:topLinePunct w:val="0"/>
        <w:autoSpaceDE/>
        <w:autoSpaceDN/>
        <w:bidi w:val="0"/>
        <w:adjustRightInd/>
        <w:snapToGrid/>
        <w:spacing w:before="0" w:beforeAutospacing="0" w:after="120" w:afterAutospacing="0" w:line="52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（二）申报所需资格证书、注册证书、专利证书、奖状等证书材料均需核对原件，交复印件。</w:t>
      </w:r>
    </w:p>
    <w:p w14:paraId="5E925A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1.身份证复印件（正反面）3份。其中一份右上角贴2寸证件彩照一张。</w:t>
      </w:r>
    </w:p>
    <w:p w14:paraId="02AD37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2.专业技术职务任职资格证书需核对原件，交复印件。</w:t>
      </w:r>
    </w:p>
    <w:p w14:paraId="5F34DF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（1）持外省职称证书的省外调入人员申报高级工程师，须提供省外职称证书、本市确认证书或确认表。</w:t>
      </w:r>
    </w:p>
    <w:p w14:paraId="5C08B8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持省内非本市取得的职称证书申报人员申报高级工程师，须提供《评审表》、与证书相吻合的社保证明、人事档案转迁证明（职称证书颁发时间必须早于档案转入厦门时间，颁发地必须与档案迁出地一致）。</w:t>
      </w:r>
    </w:p>
    <w:p w14:paraId="49EBD8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继续教育证明：提供参加与岗位有关的线上线下学习、培训、专业技术交流等的证明材料（总学时列表汇总，且按年度分别列表汇总并附证明材料）；也可以提供《厦门市专业技术人员继续教育证明》（学时须经市人社局职建处验证，咨询电话：12333；或登录“厦门市人力资源和社会保障局-网上办事-个人办事-技能培训”彩色打印“厦门市专业技术人员继续教育证明”）。</w:t>
      </w:r>
    </w:p>
    <w:p w14:paraId="09C72A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学历、学位证书须核对原件，交复印件1份（凡在教育部学信网能正常查询到学历、学位证书信息的专业技术人员，在申报职称时，可不提供学历、学位证书原件和复印件，但须提供学历、学位证书编号。在职学习取得本科以上学历的，须提供各前置学历证书并在相关表格中注明）。在国（境）外取得的学历或学位，应提供教育部出具的认证证明。</w:t>
      </w:r>
    </w:p>
    <w:p w14:paraId="6F8BE902">
      <w:pPr>
        <w:keepNext w:val="0"/>
        <w:keepLines w:val="0"/>
        <w:pageBreakBefore w:val="0"/>
        <w:kinsoku/>
        <w:wordWrap/>
        <w:overflowPunct/>
        <w:topLinePunct w:val="0"/>
        <w:autoSpaceDE/>
        <w:autoSpaceDN/>
        <w:bidi w:val="0"/>
        <w:adjustRightInd/>
        <w:snapToGrid/>
        <w:spacing w:after="120" w:line="520" w:lineRule="exact"/>
        <w:ind w:firstLine="643" w:firstLineChars="200"/>
        <w:textAlignment w:val="auto"/>
        <w:rPr>
          <w:rFonts w:ascii="楷体" w:hAnsi="楷体" w:eastAsia="楷体" w:cs="楷体"/>
          <w:sz w:val="32"/>
          <w:szCs w:val="32"/>
        </w:rPr>
      </w:pPr>
      <w:r>
        <w:rPr>
          <w:rFonts w:hint="eastAsia" w:ascii="楷体" w:hAnsi="楷体" w:eastAsia="楷体" w:cs="楷体"/>
          <w:b/>
          <w:sz w:val="32"/>
          <w:szCs w:val="32"/>
        </w:rPr>
        <w:t>（三）任职材料</w:t>
      </w:r>
    </w:p>
    <w:p w14:paraId="122DB8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1.社保材料。社保缴交年限须与资历年限一致，社保缴交单位须与实际工作经历一致，补交社会保险费的时间不计算任职年限。证明年限依学历资历要求而定。</w:t>
      </w:r>
    </w:p>
    <w:p w14:paraId="2D0FE0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（1）在本地缴交社会保险费人员的缴交信息由收件部门统一查询，若查询不到的须自行提供社会保险机构出具的缴交证明。</w:t>
      </w:r>
    </w:p>
    <w:p w14:paraId="62D819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（2）在厦门缴交社保不满足证明年限的，需提交外地社会劳动保险机构出具的缴交社保证明。</w:t>
      </w:r>
    </w:p>
    <w:p w14:paraId="439192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2.业绩材料。提交任现职以来符合《福建省工程系列职称评审条件》（闽工信职改〔2023〕19号）的下列业绩成果之一（复印件1份）：</w:t>
      </w:r>
    </w:p>
    <w:p w14:paraId="67E19A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①作为技术负责人，参与研发的设备获得“首台(套)重大技术装备”认定;</w:t>
      </w:r>
    </w:p>
    <w:p w14:paraId="5C2CDA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②作为第一发明人，取得授权发明专利1项，或作为第二发明人，取得本专业授权发明专利2项;</w:t>
      </w:r>
    </w:p>
    <w:p w14:paraId="336301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③获得国家或省部级科学技术奖;</w:t>
      </w:r>
    </w:p>
    <w:p w14:paraId="1F24AE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④参与完成制(修)订标准1项(起草人排名前3);</w:t>
      </w:r>
    </w:p>
    <w:p w14:paraId="31B70C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⑤作为技术负责人，承担2项（可多提供）本专业技术工作。</w:t>
      </w:r>
    </w:p>
    <w:p w14:paraId="74D7E3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绩成果包括但不限于：聘用合同、任命书、岗位证明、工牌、签到表、项目合同、中标通知书、设计图、施工图、经备案的施工管理人员配备情况表、审查合格书和报告、竣工验收报告、检测报告、监督报告、预决算报告、审计报告、获奖证书、荣誉证书、专利证书、科研课题证书、专著、工作单位工程项目清单等佐证材料原件的扫描件或高清照片，须清晰显示申报人的名字，外文部分须提交中文翻译。须核对所有原件，核对无误后受理。</w:t>
      </w:r>
    </w:p>
    <w:p w14:paraId="1EDC723D">
      <w:pPr>
        <w:pStyle w:val="6"/>
        <w:keepNext w:val="0"/>
        <w:keepLines w:val="0"/>
        <w:pageBreakBefore w:val="0"/>
        <w:kinsoku/>
        <w:wordWrap/>
        <w:overflowPunct/>
        <w:topLinePunct w:val="0"/>
        <w:autoSpaceDE/>
        <w:autoSpaceDN/>
        <w:bidi w:val="0"/>
        <w:adjustRightInd/>
        <w:snapToGrid/>
        <w:spacing w:before="0" w:beforeAutospacing="0" w:after="120" w:afterAutospacing="0" w:line="520" w:lineRule="exact"/>
        <w:ind w:firstLine="643" w:firstLineChars="200"/>
        <w:textAlignment w:val="auto"/>
        <w:rPr>
          <w:rFonts w:ascii="楷体" w:hAnsi="楷体" w:eastAsia="楷体" w:cs="楷体"/>
          <w:b/>
          <w:bCs/>
          <w:kern w:val="2"/>
          <w:sz w:val="32"/>
          <w:szCs w:val="32"/>
        </w:rPr>
      </w:pPr>
      <w:r>
        <w:rPr>
          <w:rFonts w:hint="eastAsia" w:ascii="楷体" w:hAnsi="楷体" w:eastAsia="楷体" w:cs="楷体"/>
          <w:b/>
          <w:bCs/>
          <w:kern w:val="2"/>
          <w:sz w:val="32"/>
          <w:szCs w:val="32"/>
        </w:rPr>
        <w:t>（四）代表作</w:t>
      </w:r>
    </w:p>
    <w:p w14:paraId="458C3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20" w:afterAutospacing="0" w:line="520" w:lineRule="exact"/>
        <w:ind w:left="0" w:righ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人员应提交在正式出版发行的本行业刊物或大学本科学校主办的学术刊物发表独立撰写的学术论文1篇，或作为第一作者在核心期刊发表学术论文1篇。以论文为条件破学历申报，须提交4篇论文，其中2篇作为代表作，并提供刊物原件；文章内容必须与申报专业及从事的专业技术工作一致。</w:t>
      </w:r>
    </w:p>
    <w:p w14:paraId="11CD0D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20" w:afterAutospacing="0" w:line="52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论文必须是在</w:t>
      </w:r>
      <w:r>
        <w:rPr>
          <w:rFonts w:hint="eastAsia" w:ascii="仿宋_GB2312" w:hAnsi="仿宋_GB2312" w:eastAsia="仿宋_GB2312" w:cs="仿宋_GB2312"/>
          <w:kern w:val="2"/>
          <w:sz w:val="32"/>
          <w:szCs w:val="32"/>
          <w:lang w:val="en-US" w:eastAsia="zh-CN" w:bidi="ar-SA"/>
        </w:rPr>
        <w:t>取得（</w:t>
      </w:r>
      <w:r>
        <w:rPr>
          <w:rFonts w:hint="default" w:ascii="仿宋_GB2312" w:hAnsi="仿宋_GB2312" w:eastAsia="仿宋_GB2312" w:cs="仿宋_GB2312"/>
          <w:kern w:val="2"/>
          <w:sz w:val="32"/>
          <w:szCs w:val="32"/>
          <w:lang w:val="en-US" w:eastAsia="zh-CN" w:bidi="ar-SA"/>
        </w:rPr>
        <w:t>聘</w:t>
      </w:r>
      <w:r>
        <w:rPr>
          <w:rFonts w:hint="eastAsia" w:ascii="仿宋_GB2312" w:hAnsi="仿宋_GB2312" w:eastAsia="仿宋_GB2312" w:cs="仿宋_GB2312"/>
          <w:kern w:val="2"/>
          <w:sz w:val="32"/>
          <w:szCs w:val="32"/>
          <w:lang w:val="en-US" w:eastAsia="zh-CN" w:bidi="ar-SA"/>
        </w:rPr>
        <w:t>任）</w:t>
      </w:r>
      <w:r>
        <w:rPr>
          <w:rFonts w:hint="default" w:ascii="仿宋_GB2312" w:hAnsi="仿宋_GB2312" w:eastAsia="仿宋_GB2312" w:cs="仿宋_GB2312"/>
          <w:kern w:val="2"/>
          <w:sz w:val="32"/>
          <w:szCs w:val="32"/>
          <w:lang w:val="en-US" w:eastAsia="zh-CN" w:bidi="ar-SA"/>
        </w:rPr>
        <w:t>工程师资格后，公开发表在本行业刊物或大学本科学校主办的学术刊物（均须有CN或ISSN刊号）上的具有较高学术水平的本专业论文。必须是任现职以来由本人独立撰写，文章内容必须与本人申报专业及从事的专业技术工作一致，且结合本人工作实践的具体内容，涉及到的工程必须是完成或已实施的。如有多篇论文提交评审，应注明最能反映本人学识水平的一篇论文为代表作</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根据有关“实行学术造假‘一票否决制’”规定，评审将对申报人员的送审代表作实行“文本复制检测”，检测结果将提交评委会。</w:t>
      </w:r>
    </w:p>
    <w:p w14:paraId="63739E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20" w:afterAutospacing="0" w:line="520" w:lineRule="exact"/>
        <w:ind w:left="0" w:righ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行业刊物”指经国家新闻出版署批准依法设立的期刊，行业类别以《中国图书馆分类法》为准；核心期刊包括中国科技核心期刊（CSTPCD）、中国科学引文数据库（CSCD）、中文核心期刊要目总览（“北大核心”）、科学引文索引（SCI）、工程索引（EI）等收录的期刊。不含增刊、专刊、专辑、副刊、特刊、电子刊、一号多刊、报纸、论文集等。所有的清样稿、论文录用通知（证明）不能作为已发表论文的依据。</w:t>
      </w:r>
    </w:p>
    <w:p w14:paraId="36600A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20" w:afterAutospacing="0" w:line="520" w:lineRule="exact"/>
        <w:ind w:left="0"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论文认证：</w:t>
      </w:r>
      <w:r>
        <w:rPr>
          <w:rFonts w:hint="eastAsia" w:ascii="仿宋_GB2312" w:hAnsi="仿宋_GB2312" w:eastAsia="仿宋_GB2312" w:cs="仿宋_GB2312"/>
          <w:kern w:val="2"/>
          <w:sz w:val="32"/>
          <w:szCs w:val="32"/>
          <w:lang w:val="en-US" w:eastAsia="zh-CN" w:bidi="ar-SA"/>
        </w:rPr>
        <w:t>发表的论文须在中国知网官网可查。</w:t>
      </w:r>
      <w:r>
        <w:rPr>
          <w:rFonts w:hint="default" w:ascii="仿宋_GB2312" w:hAnsi="仿宋_GB2312" w:eastAsia="仿宋_GB2312" w:cs="仿宋_GB2312"/>
          <w:kern w:val="2"/>
          <w:sz w:val="32"/>
          <w:szCs w:val="32"/>
          <w:lang w:val="en-US" w:eastAsia="zh-CN" w:bidi="ar-SA"/>
        </w:rPr>
        <w:t>应提供在中国知网（http://www.cnki.net）上查询到的论文认证的复印件。查询结果必须包括题名、作者、来源出处、发表时间等内容。</w:t>
      </w:r>
      <w:r>
        <w:rPr>
          <w:rFonts w:hint="eastAsia" w:ascii="仿宋_GB2312" w:hAnsi="仿宋_GB2312" w:eastAsia="仿宋_GB2312" w:cs="仿宋_GB2312"/>
          <w:kern w:val="2"/>
          <w:sz w:val="32"/>
          <w:szCs w:val="32"/>
          <w:lang w:val="en-US" w:eastAsia="zh-CN" w:bidi="ar-SA"/>
        </w:rPr>
        <w:t>论文所属的刊物请自行到国家新闻出版署上核实刊物的真伪，（操作提示：登陆中华人民共和国新闻出版署，网址：https://www.nppa.gov.cn/bsfw/cyjghcpcx/qkan/index.html，点击以下路径查询：“办事服务-从业机构和产品查询-期刊/期刊社查询”），</w:t>
      </w:r>
      <w:r>
        <w:rPr>
          <w:rFonts w:hint="default" w:ascii="仿宋_GB2312" w:hAnsi="仿宋_GB2312" w:eastAsia="仿宋_GB2312" w:cs="仿宋_GB2312"/>
          <w:kern w:val="2"/>
          <w:sz w:val="32"/>
          <w:szCs w:val="32"/>
          <w:lang w:val="en-US" w:eastAsia="zh-CN" w:bidi="ar-SA"/>
        </w:rPr>
        <w:t>将</w:t>
      </w:r>
      <w:r>
        <w:rPr>
          <w:rFonts w:hint="eastAsia" w:ascii="仿宋_GB2312" w:hAnsi="仿宋_GB2312" w:eastAsia="仿宋_GB2312" w:cs="仿宋_GB2312"/>
          <w:kern w:val="2"/>
          <w:sz w:val="32"/>
          <w:szCs w:val="32"/>
          <w:lang w:val="en-US" w:eastAsia="zh-CN" w:bidi="ar-SA"/>
        </w:rPr>
        <w:t>以上</w:t>
      </w:r>
      <w:r>
        <w:rPr>
          <w:rFonts w:hint="default" w:ascii="仿宋_GB2312" w:hAnsi="仿宋_GB2312" w:eastAsia="仿宋_GB2312" w:cs="仿宋_GB2312"/>
          <w:kern w:val="2"/>
          <w:sz w:val="32"/>
          <w:szCs w:val="32"/>
          <w:lang w:val="en-US" w:eastAsia="zh-CN" w:bidi="ar-SA"/>
        </w:rPr>
        <w:t>查询结果输出打印后附在论文后面。</w:t>
      </w:r>
    </w:p>
    <w:p w14:paraId="7A6B4427">
      <w:pPr>
        <w:keepNext w:val="0"/>
        <w:keepLines w:val="0"/>
        <w:pageBreakBefore w:val="0"/>
        <w:kinsoku/>
        <w:wordWrap/>
        <w:overflowPunct/>
        <w:topLinePunct w:val="0"/>
        <w:autoSpaceDE/>
        <w:autoSpaceDN/>
        <w:bidi w:val="0"/>
        <w:adjustRightInd/>
        <w:snapToGrid/>
        <w:spacing w:after="120" w:line="520" w:lineRule="exact"/>
        <w:ind w:firstLine="640" w:firstLineChars="200"/>
        <w:textAlignment w:val="auto"/>
        <w:rPr>
          <w:rFonts w:hint="eastAsia" w:ascii="宋体" w:hAnsi="宋体" w:eastAsia="宋体" w:cs="宋体"/>
          <w:b w:val="0"/>
          <w:bCs w:val="0"/>
          <w:i w:val="0"/>
          <w:caps w:val="0"/>
          <w:color w:val="auto"/>
          <w:spacing w:val="0"/>
          <w:sz w:val="24"/>
          <w:szCs w:val="24"/>
          <w:highlight w:val="none"/>
        </w:rPr>
      </w:pPr>
      <w:r>
        <w:rPr>
          <w:rFonts w:hint="eastAsia" w:ascii="仿宋_GB2312" w:hAnsi="仿宋_GB2312" w:eastAsia="仿宋_GB2312" w:cs="仿宋_GB2312"/>
          <w:kern w:val="2"/>
          <w:sz w:val="32"/>
          <w:szCs w:val="32"/>
          <w:lang w:val="en-US" w:eastAsia="zh-CN" w:bidi="ar-SA"/>
        </w:rPr>
        <w:t>凡符合《福建省人民政府办公厅关于进一步深化科技人员职称评价改革的若干意见》(闽政办〔2016〕1号)有关论文替代规定的，可相应替代本评审条件中有关论文要求。参与完成制(修)订本专业标准1项(起草人排名前3)的（“标准”指国际标准、国家标准、行业标准、地方标准，其中地方标准不含市级地方标准），可替代1篇论文要求。应在代表作栏目中列明符合的条款和替代关系，以项目、奖项、发明专利、标准等替代论文的须提交一篇论文，论文不作发表要求。</w:t>
      </w:r>
    </w:p>
    <w:p w14:paraId="4702D949">
      <w:pPr>
        <w:keepNext w:val="0"/>
        <w:keepLines w:val="0"/>
        <w:pageBreakBefore w:val="0"/>
        <w:kinsoku/>
        <w:wordWrap/>
        <w:overflowPunct/>
        <w:topLinePunct w:val="0"/>
        <w:autoSpaceDE/>
        <w:autoSpaceDN/>
        <w:bidi w:val="0"/>
        <w:adjustRightInd/>
        <w:snapToGrid/>
        <w:spacing w:after="120" w:line="52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三、面试要求</w:t>
      </w:r>
      <w:bookmarkStart w:id="0" w:name="OLE_LINK3"/>
      <w:bookmarkEnd w:id="0"/>
    </w:p>
    <w:p w14:paraId="70F2E3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20" w:lineRule="exact"/>
        <w:ind w:left="0"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凡申报评审高级工程师任职资格的人员，均需参加答辩考核。答辩对象应准时到场，无故不参加答辩考核的,视为自动放弃评审资格，其申报材料不提交评委会评审。具体答辩时间地点另行通知。</w:t>
      </w:r>
    </w:p>
    <w:p w14:paraId="2AAC9FCC">
      <w:pPr>
        <w:keepNext w:val="0"/>
        <w:keepLines w:val="0"/>
        <w:pageBreakBefore w:val="0"/>
        <w:kinsoku/>
        <w:wordWrap/>
        <w:overflowPunct/>
        <w:topLinePunct w:val="0"/>
        <w:autoSpaceDE/>
        <w:autoSpaceDN/>
        <w:bidi w:val="0"/>
        <w:adjustRightInd/>
        <w:snapToGrid/>
        <w:spacing w:after="12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1" w:name="_GoBack"/>
      <w:bookmarkEnd w:id="1"/>
    </w:p>
    <w:sectPr>
      <w:headerReference r:id="rId3" w:type="default"/>
      <w:footerReference r:id="rId4" w:type="default"/>
      <w:pgSz w:w="11906" w:h="16838"/>
      <w:pgMar w:top="1304" w:right="1416"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619F">
    <w:pPr>
      <w:pStyle w:val="4"/>
      <w:framePr w:wrap="around" w:vAnchor="text" w:hAnchor="margin" w:xAlign="center" w:y="1"/>
      <w:rPr>
        <w:rStyle w:val="9"/>
        <w:rFonts w:cs="Times New Roman" w:asciiTheme="minorEastAsia" w:hAnsiTheme="minorEastAsia" w:eastAsiaTheme="minorEastAsia"/>
        <w:sz w:val="24"/>
        <w:szCs w:val="24"/>
      </w:rPr>
    </w:pPr>
    <w:r>
      <w:rPr>
        <w:rStyle w:val="9"/>
        <w:rFonts w:asciiTheme="minorEastAsia" w:hAnsiTheme="minorEastAsia" w:eastAsiaTheme="minorEastAsia"/>
        <w:sz w:val="24"/>
        <w:szCs w:val="24"/>
      </w:rPr>
      <w:fldChar w:fldCharType="begin"/>
    </w:r>
    <w:r>
      <w:rPr>
        <w:rStyle w:val="9"/>
        <w:rFonts w:asciiTheme="minorEastAsia" w:hAnsiTheme="minorEastAsia" w:eastAsiaTheme="minorEastAsia"/>
        <w:sz w:val="24"/>
        <w:szCs w:val="24"/>
      </w:rPr>
      <w:instrText xml:space="preserve">PAGE  </w:instrText>
    </w:r>
    <w:r>
      <w:rPr>
        <w:rStyle w:val="9"/>
        <w:rFonts w:asciiTheme="minorEastAsia" w:hAnsiTheme="minorEastAsia" w:eastAsiaTheme="minorEastAsia"/>
        <w:sz w:val="24"/>
        <w:szCs w:val="24"/>
      </w:rPr>
      <w:fldChar w:fldCharType="separate"/>
    </w:r>
    <w:r>
      <w:rPr>
        <w:rStyle w:val="9"/>
        <w:rFonts w:asciiTheme="minorEastAsia" w:hAnsiTheme="minorEastAsia" w:eastAsiaTheme="minorEastAsia"/>
        <w:sz w:val="24"/>
        <w:szCs w:val="24"/>
      </w:rPr>
      <w:t>4</w:t>
    </w:r>
    <w:r>
      <w:rPr>
        <w:rStyle w:val="9"/>
        <w:rFonts w:asciiTheme="minorEastAsia" w:hAnsiTheme="minorEastAsia" w:eastAsiaTheme="minorEastAsia"/>
        <w:sz w:val="24"/>
        <w:szCs w:val="24"/>
      </w:rPr>
      <w:fldChar w:fldCharType="end"/>
    </w:r>
  </w:p>
  <w:p w14:paraId="5BED06D9">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29BFD">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Y5NTAxYTYzNTNjZGQ1YzBkNDk5ODY0ZGNhYmZhYTcifQ=="/>
  </w:docVars>
  <w:rsids>
    <w:rsidRoot w:val="007421B3"/>
    <w:rsid w:val="000108F3"/>
    <w:rsid w:val="0002077B"/>
    <w:rsid w:val="0003084B"/>
    <w:rsid w:val="00035554"/>
    <w:rsid w:val="00035A0A"/>
    <w:rsid w:val="000457DE"/>
    <w:rsid w:val="000502CF"/>
    <w:rsid w:val="00055412"/>
    <w:rsid w:val="000621A4"/>
    <w:rsid w:val="00062333"/>
    <w:rsid w:val="000623AC"/>
    <w:rsid w:val="00066E99"/>
    <w:rsid w:val="000728BD"/>
    <w:rsid w:val="00075595"/>
    <w:rsid w:val="000766CE"/>
    <w:rsid w:val="00081729"/>
    <w:rsid w:val="00082FB2"/>
    <w:rsid w:val="000A30D4"/>
    <w:rsid w:val="000B01A1"/>
    <w:rsid w:val="000D07C3"/>
    <w:rsid w:val="000D1577"/>
    <w:rsid w:val="000D5B72"/>
    <w:rsid w:val="000D5C72"/>
    <w:rsid w:val="000E33F3"/>
    <w:rsid w:val="000E38B1"/>
    <w:rsid w:val="000F4120"/>
    <w:rsid w:val="000F62DC"/>
    <w:rsid w:val="00101670"/>
    <w:rsid w:val="001178AC"/>
    <w:rsid w:val="00122F7B"/>
    <w:rsid w:val="001444FD"/>
    <w:rsid w:val="00144651"/>
    <w:rsid w:val="00153B1F"/>
    <w:rsid w:val="00160F54"/>
    <w:rsid w:val="001947E6"/>
    <w:rsid w:val="00194F26"/>
    <w:rsid w:val="001A7DDB"/>
    <w:rsid w:val="001B242A"/>
    <w:rsid w:val="001B2ED9"/>
    <w:rsid w:val="001B3299"/>
    <w:rsid w:val="001B4BCC"/>
    <w:rsid w:val="001B4C61"/>
    <w:rsid w:val="001C0664"/>
    <w:rsid w:val="001D20C7"/>
    <w:rsid w:val="001D4F93"/>
    <w:rsid w:val="001D59A8"/>
    <w:rsid w:val="001F6C36"/>
    <w:rsid w:val="00207ADB"/>
    <w:rsid w:val="002162B2"/>
    <w:rsid w:val="00234591"/>
    <w:rsid w:val="00237B6C"/>
    <w:rsid w:val="00237E99"/>
    <w:rsid w:val="00242B98"/>
    <w:rsid w:val="00243BF4"/>
    <w:rsid w:val="00252AB7"/>
    <w:rsid w:val="00253F47"/>
    <w:rsid w:val="00264C50"/>
    <w:rsid w:val="0026658A"/>
    <w:rsid w:val="0026715D"/>
    <w:rsid w:val="00272AEB"/>
    <w:rsid w:val="002840F6"/>
    <w:rsid w:val="0029302E"/>
    <w:rsid w:val="0029554D"/>
    <w:rsid w:val="0029572D"/>
    <w:rsid w:val="00296D35"/>
    <w:rsid w:val="0029749C"/>
    <w:rsid w:val="002A284B"/>
    <w:rsid w:val="002B7FF5"/>
    <w:rsid w:val="002C5CA3"/>
    <w:rsid w:val="002C6693"/>
    <w:rsid w:val="002C730A"/>
    <w:rsid w:val="002D674B"/>
    <w:rsid w:val="002D67EF"/>
    <w:rsid w:val="002E09CA"/>
    <w:rsid w:val="002E4C61"/>
    <w:rsid w:val="0030466B"/>
    <w:rsid w:val="00322E9B"/>
    <w:rsid w:val="00327EFB"/>
    <w:rsid w:val="00332A7E"/>
    <w:rsid w:val="0033352C"/>
    <w:rsid w:val="003415EB"/>
    <w:rsid w:val="00361FCA"/>
    <w:rsid w:val="003729D9"/>
    <w:rsid w:val="00373E47"/>
    <w:rsid w:val="003913D8"/>
    <w:rsid w:val="003A018B"/>
    <w:rsid w:val="003A0481"/>
    <w:rsid w:val="003A2E63"/>
    <w:rsid w:val="003B654A"/>
    <w:rsid w:val="003C1EA6"/>
    <w:rsid w:val="003C47EA"/>
    <w:rsid w:val="003C561A"/>
    <w:rsid w:val="003D25BB"/>
    <w:rsid w:val="003E454C"/>
    <w:rsid w:val="003E5C93"/>
    <w:rsid w:val="003E6A97"/>
    <w:rsid w:val="00405295"/>
    <w:rsid w:val="00405E0A"/>
    <w:rsid w:val="00406CFA"/>
    <w:rsid w:val="004129CC"/>
    <w:rsid w:val="004171A3"/>
    <w:rsid w:val="004206FD"/>
    <w:rsid w:val="004209EE"/>
    <w:rsid w:val="004218A5"/>
    <w:rsid w:val="0042227E"/>
    <w:rsid w:val="0043003A"/>
    <w:rsid w:val="0043200D"/>
    <w:rsid w:val="00436997"/>
    <w:rsid w:val="00451F84"/>
    <w:rsid w:val="00454B5C"/>
    <w:rsid w:val="00463822"/>
    <w:rsid w:val="004664C8"/>
    <w:rsid w:val="00472181"/>
    <w:rsid w:val="0047629B"/>
    <w:rsid w:val="00476F37"/>
    <w:rsid w:val="00483BF1"/>
    <w:rsid w:val="004871B6"/>
    <w:rsid w:val="004917AA"/>
    <w:rsid w:val="00494136"/>
    <w:rsid w:val="004B5D17"/>
    <w:rsid w:val="004B6D51"/>
    <w:rsid w:val="004C1D8D"/>
    <w:rsid w:val="004D0216"/>
    <w:rsid w:val="004D7400"/>
    <w:rsid w:val="004E0BFA"/>
    <w:rsid w:val="004E242F"/>
    <w:rsid w:val="004F744C"/>
    <w:rsid w:val="005114C8"/>
    <w:rsid w:val="00513D12"/>
    <w:rsid w:val="00517C16"/>
    <w:rsid w:val="00521034"/>
    <w:rsid w:val="005255F4"/>
    <w:rsid w:val="005257BD"/>
    <w:rsid w:val="005306AA"/>
    <w:rsid w:val="005315D5"/>
    <w:rsid w:val="00531B8A"/>
    <w:rsid w:val="005335ED"/>
    <w:rsid w:val="0053478B"/>
    <w:rsid w:val="00547358"/>
    <w:rsid w:val="005504D8"/>
    <w:rsid w:val="005526A5"/>
    <w:rsid w:val="005559F1"/>
    <w:rsid w:val="00560AFA"/>
    <w:rsid w:val="005662E2"/>
    <w:rsid w:val="005702D4"/>
    <w:rsid w:val="00580ECB"/>
    <w:rsid w:val="00587CC4"/>
    <w:rsid w:val="005902D2"/>
    <w:rsid w:val="00592AE2"/>
    <w:rsid w:val="005A614A"/>
    <w:rsid w:val="005B362E"/>
    <w:rsid w:val="005C1C2E"/>
    <w:rsid w:val="005D1061"/>
    <w:rsid w:val="005D695D"/>
    <w:rsid w:val="005E1C40"/>
    <w:rsid w:val="005F50EB"/>
    <w:rsid w:val="005F6080"/>
    <w:rsid w:val="005F6C76"/>
    <w:rsid w:val="00604198"/>
    <w:rsid w:val="00636FEA"/>
    <w:rsid w:val="006614A1"/>
    <w:rsid w:val="00666129"/>
    <w:rsid w:val="006750C0"/>
    <w:rsid w:val="00681030"/>
    <w:rsid w:val="006913C0"/>
    <w:rsid w:val="00693022"/>
    <w:rsid w:val="00694E65"/>
    <w:rsid w:val="006A3173"/>
    <w:rsid w:val="006A69EA"/>
    <w:rsid w:val="006A708C"/>
    <w:rsid w:val="006B14E1"/>
    <w:rsid w:val="006C23AE"/>
    <w:rsid w:val="006E1367"/>
    <w:rsid w:val="006E145C"/>
    <w:rsid w:val="006F16CB"/>
    <w:rsid w:val="00704C0B"/>
    <w:rsid w:val="00717190"/>
    <w:rsid w:val="00723718"/>
    <w:rsid w:val="00723AB1"/>
    <w:rsid w:val="0072733C"/>
    <w:rsid w:val="00740F58"/>
    <w:rsid w:val="007421B3"/>
    <w:rsid w:val="0076138C"/>
    <w:rsid w:val="007674C6"/>
    <w:rsid w:val="00772FC6"/>
    <w:rsid w:val="0077717A"/>
    <w:rsid w:val="00783194"/>
    <w:rsid w:val="007843AF"/>
    <w:rsid w:val="00786C38"/>
    <w:rsid w:val="007901BF"/>
    <w:rsid w:val="0079696D"/>
    <w:rsid w:val="007A5823"/>
    <w:rsid w:val="007B2927"/>
    <w:rsid w:val="007B34CC"/>
    <w:rsid w:val="007B785F"/>
    <w:rsid w:val="007C2306"/>
    <w:rsid w:val="007C3B53"/>
    <w:rsid w:val="007C679E"/>
    <w:rsid w:val="007D047F"/>
    <w:rsid w:val="007D1C77"/>
    <w:rsid w:val="007E2BAB"/>
    <w:rsid w:val="00816136"/>
    <w:rsid w:val="00822F1B"/>
    <w:rsid w:val="0083724A"/>
    <w:rsid w:val="00842E7D"/>
    <w:rsid w:val="00861402"/>
    <w:rsid w:val="008633DD"/>
    <w:rsid w:val="00867706"/>
    <w:rsid w:val="008715FB"/>
    <w:rsid w:val="008871B7"/>
    <w:rsid w:val="00893825"/>
    <w:rsid w:val="00894D0C"/>
    <w:rsid w:val="00897A0F"/>
    <w:rsid w:val="008A0D35"/>
    <w:rsid w:val="008A49D7"/>
    <w:rsid w:val="008A6EB9"/>
    <w:rsid w:val="008B4062"/>
    <w:rsid w:val="008B6313"/>
    <w:rsid w:val="008C446F"/>
    <w:rsid w:val="008C4988"/>
    <w:rsid w:val="008D04CA"/>
    <w:rsid w:val="008D06E2"/>
    <w:rsid w:val="008F4A0C"/>
    <w:rsid w:val="009031D5"/>
    <w:rsid w:val="0090416D"/>
    <w:rsid w:val="009075FB"/>
    <w:rsid w:val="00913302"/>
    <w:rsid w:val="00930601"/>
    <w:rsid w:val="0093238A"/>
    <w:rsid w:val="00941402"/>
    <w:rsid w:val="00944728"/>
    <w:rsid w:val="00956F6F"/>
    <w:rsid w:val="009703A4"/>
    <w:rsid w:val="00977458"/>
    <w:rsid w:val="0098081E"/>
    <w:rsid w:val="00995409"/>
    <w:rsid w:val="0099791F"/>
    <w:rsid w:val="009C0B63"/>
    <w:rsid w:val="009C5D1A"/>
    <w:rsid w:val="009D0FCF"/>
    <w:rsid w:val="009D1DA0"/>
    <w:rsid w:val="009D22C6"/>
    <w:rsid w:val="009D3AD0"/>
    <w:rsid w:val="009D6E38"/>
    <w:rsid w:val="009E577F"/>
    <w:rsid w:val="009E6F2E"/>
    <w:rsid w:val="009E7186"/>
    <w:rsid w:val="009F2529"/>
    <w:rsid w:val="009F2642"/>
    <w:rsid w:val="009F40C4"/>
    <w:rsid w:val="00A03FF7"/>
    <w:rsid w:val="00A0454E"/>
    <w:rsid w:val="00A1082F"/>
    <w:rsid w:val="00A14DB8"/>
    <w:rsid w:val="00A24B3D"/>
    <w:rsid w:val="00A27505"/>
    <w:rsid w:val="00A432EA"/>
    <w:rsid w:val="00A463D4"/>
    <w:rsid w:val="00A506D8"/>
    <w:rsid w:val="00A569FE"/>
    <w:rsid w:val="00A633D1"/>
    <w:rsid w:val="00A763DD"/>
    <w:rsid w:val="00A80FB9"/>
    <w:rsid w:val="00A82800"/>
    <w:rsid w:val="00A8487A"/>
    <w:rsid w:val="00A86101"/>
    <w:rsid w:val="00A907B3"/>
    <w:rsid w:val="00A91656"/>
    <w:rsid w:val="00A9201B"/>
    <w:rsid w:val="00AA0514"/>
    <w:rsid w:val="00AA123A"/>
    <w:rsid w:val="00AA5157"/>
    <w:rsid w:val="00AA72CD"/>
    <w:rsid w:val="00AD5D52"/>
    <w:rsid w:val="00AD79EB"/>
    <w:rsid w:val="00AE2B8D"/>
    <w:rsid w:val="00AE43F3"/>
    <w:rsid w:val="00AE4611"/>
    <w:rsid w:val="00AF145B"/>
    <w:rsid w:val="00AF1FCE"/>
    <w:rsid w:val="00AF41CF"/>
    <w:rsid w:val="00B1286D"/>
    <w:rsid w:val="00B12C9B"/>
    <w:rsid w:val="00B16385"/>
    <w:rsid w:val="00B25E5A"/>
    <w:rsid w:val="00B3481E"/>
    <w:rsid w:val="00B47FE2"/>
    <w:rsid w:val="00B54603"/>
    <w:rsid w:val="00B60EED"/>
    <w:rsid w:val="00B64E94"/>
    <w:rsid w:val="00B659DF"/>
    <w:rsid w:val="00B67BBD"/>
    <w:rsid w:val="00B70F2B"/>
    <w:rsid w:val="00B72E70"/>
    <w:rsid w:val="00B7740A"/>
    <w:rsid w:val="00BA3B01"/>
    <w:rsid w:val="00BA5817"/>
    <w:rsid w:val="00BB0663"/>
    <w:rsid w:val="00BB0C1C"/>
    <w:rsid w:val="00BB45A6"/>
    <w:rsid w:val="00BB4A54"/>
    <w:rsid w:val="00BB643C"/>
    <w:rsid w:val="00BD2BEA"/>
    <w:rsid w:val="00BD3157"/>
    <w:rsid w:val="00BD3B51"/>
    <w:rsid w:val="00BE3E6B"/>
    <w:rsid w:val="00BF37B8"/>
    <w:rsid w:val="00C005A7"/>
    <w:rsid w:val="00C04EC2"/>
    <w:rsid w:val="00C05440"/>
    <w:rsid w:val="00C1262C"/>
    <w:rsid w:val="00C16657"/>
    <w:rsid w:val="00C21228"/>
    <w:rsid w:val="00C33261"/>
    <w:rsid w:val="00C3410A"/>
    <w:rsid w:val="00C35492"/>
    <w:rsid w:val="00C42057"/>
    <w:rsid w:val="00C5089D"/>
    <w:rsid w:val="00C5326B"/>
    <w:rsid w:val="00C534E0"/>
    <w:rsid w:val="00C55CE5"/>
    <w:rsid w:val="00C571C8"/>
    <w:rsid w:val="00C61A35"/>
    <w:rsid w:val="00C83615"/>
    <w:rsid w:val="00C97EE4"/>
    <w:rsid w:val="00CA6F25"/>
    <w:rsid w:val="00CB7F31"/>
    <w:rsid w:val="00CC012C"/>
    <w:rsid w:val="00CD4235"/>
    <w:rsid w:val="00CE1833"/>
    <w:rsid w:val="00CE4715"/>
    <w:rsid w:val="00D040FD"/>
    <w:rsid w:val="00D116BD"/>
    <w:rsid w:val="00D233F8"/>
    <w:rsid w:val="00D40685"/>
    <w:rsid w:val="00D4392D"/>
    <w:rsid w:val="00D57FA5"/>
    <w:rsid w:val="00D7009A"/>
    <w:rsid w:val="00D85803"/>
    <w:rsid w:val="00DA0108"/>
    <w:rsid w:val="00DA306A"/>
    <w:rsid w:val="00DA3709"/>
    <w:rsid w:val="00DA55EF"/>
    <w:rsid w:val="00DA6BF4"/>
    <w:rsid w:val="00DB73BF"/>
    <w:rsid w:val="00DD29D5"/>
    <w:rsid w:val="00DD3F19"/>
    <w:rsid w:val="00DE0620"/>
    <w:rsid w:val="00DE149E"/>
    <w:rsid w:val="00DE5B72"/>
    <w:rsid w:val="00DF13A6"/>
    <w:rsid w:val="00DF382D"/>
    <w:rsid w:val="00DF55D4"/>
    <w:rsid w:val="00E168AE"/>
    <w:rsid w:val="00E27697"/>
    <w:rsid w:val="00E324E7"/>
    <w:rsid w:val="00E40D93"/>
    <w:rsid w:val="00E44885"/>
    <w:rsid w:val="00E45673"/>
    <w:rsid w:val="00E572A7"/>
    <w:rsid w:val="00E5770B"/>
    <w:rsid w:val="00E61135"/>
    <w:rsid w:val="00E62AA0"/>
    <w:rsid w:val="00E656EF"/>
    <w:rsid w:val="00E87A30"/>
    <w:rsid w:val="00EA0E94"/>
    <w:rsid w:val="00EB233D"/>
    <w:rsid w:val="00EB6DCA"/>
    <w:rsid w:val="00EB71FC"/>
    <w:rsid w:val="00EC0931"/>
    <w:rsid w:val="00EC1AE4"/>
    <w:rsid w:val="00EC7CB6"/>
    <w:rsid w:val="00ED382E"/>
    <w:rsid w:val="00ED6E68"/>
    <w:rsid w:val="00EE6423"/>
    <w:rsid w:val="00EF3D01"/>
    <w:rsid w:val="00EF5627"/>
    <w:rsid w:val="00F04CEA"/>
    <w:rsid w:val="00F0574D"/>
    <w:rsid w:val="00F34BE4"/>
    <w:rsid w:val="00F56BCB"/>
    <w:rsid w:val="00F61D60"/>
    <w:rsid w:val="00F66478"/>
    <w:rsid w:val="00F70530"/>
    <w:rsid w:val="00F716A5"/>
    <w:rsid w:val="00F737BF"/>
    <w:rsid w:val="00F867EA"/>
    <w:rsid w:val="00FA21BA"/>
    <w:rsid w:val="00FA2442"/>
    <w:rsid w:val="00FA7924"/>
    <w:rsid w:val="00FB235A"/>
    <w:rsid w:val="00FB2833"/>
    <w:rsid w:val="00FC7A3D"/>
    <w:rsid w:val="00FD101D"/>
    <w:rsid w:val="00FE15E6"/>
    <w:rsid w:val="00FE36A4"/>
    <w:rsid w:val="00FE79FD"/>
    <w:rsid w:val="00FE7C75"/>
    <w:rsid w:val="00FF76AE"/>
    <w:rsid w:val="02691A29"/>
    <w:rsid w:val="02E4100B"/>
    <w:rsid w:val="033D1B7C"/>
    <w:rsid w:val="035215EE"/>
    <w:rsid w:val="042277B0"/>
    <w:rsid w:val="048E122E"/>
    <w:rsid w:val="055C132D"/>
    <w:rsid w:val="05F460D1"/>
    <w:rsid w:val="066F5090"/>
    <w:rsid w:val="069F1AC2"/>
    <w:rsid w:val="075F0322"/>
    <w:rsid w:val="07B92A66"/>
    <w:rsid w:val="07CC62EA"/>
    <w:rsid w:val="09121943"/>
    <w:rsid w:val="094A04B5"/>
    <w:rsid w:val="0A670558"/>
    <w:rsid w:val="0A862B9B"/>
    <w:rsid w:val="0DFF4F4B"/>
    <w:rsid w:val="0EE71D97"/>
    <w:rsid w:val="0F692FC4"/>
    <w:rsid w:val="0F750EAD"/>
    <w:rsid w:val="104410B1"/>
    <w:rsid w:val="110C7FEC"/>
    <w:rsid w:val="128D521B"/>
    <w:rsid w:val="12ED5CBA"/>
    <w:rsid w:val="14BD4966"/>
    <w:rsid w:val="15D849FF"/>
    <w:rsid w:val="164F60A8"/>
    <w:rsid w:val="191172DD"/>
    <w:rsid w:val="19CF7EC7"/>
    <w:rsid w:val="1A113F28"/>
    <w:rsid w:val="1A165AF6"/>
    <w:rsid w:val="1A832AB7"/>
    <w:rsid w:val="1B4548E5"/>
    <w:rsid w:val="1BBE4CC9"/>
    <w:rsid w:val="1D0D7B40"/>
    <w:rsid w:val="1DA67191"/>
    <w:rsid w:val="1E227D74"/>
    <w:rsid w:val="1EB06519"/>
    <w:rsid w:val="1EC27FFB"/>
    <w:rsid w:val="1F614B07"/>
    <w:rsid w:val="1F7D47FB"/>
    <w:rsid w:val="1FD61FB0"/>
    <w:rsid w:val="202251F5"/>
    <w:rsid w:val="213A0A60"/>
    <w:rsid w:val="21FC1A76"/>
    <w:rsid w:val="22635651"/>
    <w:rsid w:val="23D35252"/>
    <w:rsid w:val="255319AC"/>
    <w:rsid w:val="2575547C"/>
    <w:rsid w:val="258F6490"/>
    <w:rsid w:val="263C537C"/>
    <w:rsid w:val="2657371E"/>
    <w:rsid w:val="268362C1"/>
    <w:rsid w:val="27C50584"/>
    <w:rsid w:val="29771D1F"/>
    <w:rsid w:val="2A2523DE"/>
    <w:rsid w:val="2ADE440E"/>
    <w:rsid w:val="2B886128"/>
    <w:rsid w:val="2BD458F6"/>
    <w:rsid w:val="2C864D5D"/>
    <w:rsid w:val="2D7055FF"/>
    <w:rsid w:val="2DDF4725"/>
    <w:rsid w:val="2F1523C9"/>
    <w:rsid w:val="2F7C41F6"/>
    <w:rsid w:val="31A0241D"/>
    <w:rsid w:val="32AC6BA0"/>
    <w:rsid w:val="32DC711D"/>
    <w:rsid w:val="332C0A50"/>
    <w:rsid w:val="335E10FD"/>
    <w:rsid w:val="338E4585"/>
    <w:rsid w:val="33F86541"/>
    <w:rsid w:val="36B424C7"/>
    <w:rsid w:val="36C50230"/>
    <w:rsid w:val="37054AD1"/>
    <w:rsid w:val="373A6CB0"/>
    <w:rsid w:val="381B0A50"/>
    <w:rsid w:val="392B6266"/>
    <w:rsid w:val="399A1E48"/>
    <w:rsid w:val="3D9077EA"/>
    <w:rsid w:val="3E23490B"/>
    <w:rsid w:val="3E3D2C79"/>
    <w:rsid w:val="3F0A35CC"/>
    <w:rsid w:val="3F7F7D1B"/>
    <w:rsid w:val="40590DC5"/>
    <w:rsid w:val="40C357E1"/>
    <w:rsid w:val="42641245"/>
    <w:rsid w:val="42993F16"/>
    <w:rsid w:val="42D57768"/>
    <w:rsid w:val="43A318F9"/>
    <w:rsid w:val="45197EA1"/>
    <w:rsid w:val="45603F46"/>
    <w:rsid w:val="458539AC"/>
    <w:rsid w:val="45CD0EAF"/>
    <w:rsid w:val="45CE56CE"/>
    <w:rsid w:val="464E0242"/>
    <w:rsid w:val="46F11A71"/>
    <w:rsid w:val="47213261"/>
    <w:rsid w:val="47282841"/>
    <w:rsid w:val="48216898"/>
    <w:rsid w:val="48AC1250"/>
    <w:rsid w:val="49866B78"/>
    <w:rsid w:val="4A3D5D50"/>
    <w:rsid w:val="4D3736E1"/>
    <w:rsid w:val="4D987FF5"/>
    <w:rsid w:val="4DA15341"/>
    <w:rsid w:val="4EFE565F"/>
    <w:rsid w:val="4F701229"/>
    <w:rsid w:val="4FD7612C"/>
    <w:rsid w:val="50521ABD"/>
    <w:rsid w:val="52C11D9C"/>
    <w:rsid w:val="52EE772D"/>
    <w:rsid w:val="5386726D"/>
    <w:rsid w:val="53B45DE2"/>
    <w:rsid w:val="55284354"/>
    <w:rsid w:val="55FF50B5"/>
    <w:rsid w:val="56E173C5"/>
    <w:rsid w:val="57642259"/>
    <w:rsid w:val="57FF7C59"/>
    <w:rsid w:val="580F19FC"/>
    <w:rsid w:val="58474AF1"/>
    <w:rsid w:val="592B0E97"/>
    <w:rsid w:val="59EC755E"/>
    <w:rsid w:val="5A163E06"/>
    <w:rsid w:val="5D777C27"/>
    <w:rsid w:val="5DAB5B22"/>
    <w:rsid w:val="5E8B1BDC"/>
    <w:rsid w:val="61D54F1C"/>
    <w:rsid w:val="626D24CF"/>
    <w:rsid w:val="62B114E5"/>
    <w:rsid w:val="62B334AF"/>
    <w:rsid w:val="62DC3EFA"/>
    <w:rsid w:val="63071A4D"/>
    <w:rsid w:val="63536A40"/>
    <w:rsid w:val="63FB42A2"/>
    <w:rsid w:val="64BD3CA4"/>
    <w:rsid w:val="64F13D73"/>
    <w:rsid w:val="65B23EF2"/>
    <w:rsid w:val="663E7255"/>
    <w:rsid w:val="66DC6D4D"/>
    <w:rsid w:val="68BA0C37"/>
    <w:rsid w:val="699E7B46"/>
    <w:rsid w:val="6A6D70B4"/>
    <w:rsid w:val="6AD40467"/>
    <w:rsid w:val="6BAC8762"/>
    <w:rsid w:val="6E1B015A"/>
    <w:rsid w:val="6EB5697E"/>
    <w:rsid w:val="6EFE263E"/>
    <w:rsid w:val="70096E04"/>
    <w:rsid w:val="701D640C"/>
    <w:rsid w:val="703025E3"/>
    <w:rsid w:val="703E2F5E"/>
    <w:rsid w:val="71421230"/>
    <w:rsid w:val="715A71EC"/>
    <w:rsid w:val="760D2A7F"/>
    <w:rsid w:val="765E38EE"/>
    <w:rsid w:val="76870A83"/>
    <w:rsid w:val="77B238DE"/>
    <w:rsid w:val="77BC650A"/>
    <w:rsid w:val="7C913246"/>
    <w:rsid w:val="FDF765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autoRedefine/>
    <w:semiHidden/>
    <w:qFormat/>
    <w:uiPriority w:val="99"/>
    <w:rPr>
      <w:kern w:val="0"/>
      <w:sz w:val="2"/>
      <w:szCs w:val="2"/>
    </w:rPr>
  </w:style>
  <w:style w:type="paragraph" w:styleId="4">
    <w:name w:val="footer"/>
    <w:basedOn w:val="1"/>
    <w:link w:val="14"/>
    <w:autoRedefine/>
    <w:semiHidden/>
    <w:qFormat/>
    <w:uiPriority w:val="99"/>
    <w:pPr>
      <w:tabs>
        <w:tab w:val="center" w:pos="4153"/>
        <w:tab w:val="right" w:pos="8306"/>
      </w:tabs>
      <w:snapToGrid w:val="0"/>
      <w:jc w:val="left"/>
    </w:pPr>
    <w:rPr>
      <w:kern w:val="0"/>
      <w:sz w:val="18"/>
      <w:szCs w:val="18"/>
    </w:rPr>
  </w:style>
  <w:style w:type="paragraph" w:styleId="5">
    <w:name w:val="header"/>
    <w:basedOn w:val="1"/>
    <w:link w:val="15"/>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autoRedefine/>
    <w:qFormat/>
    <w:uiPriority w:val="99"/>
  </w:style>
  <w:style w:type="character" w:styleId="10">
    <w:name w:val="FollowedHyperlink"/>
    <w:basedOn w:val="8"/>
    <w:autoRedefine/>
    <w:qFormat/>
    <w:uiPriority w:val="0"/>
    <w:rPr>
      <w:color w:val="800080"/>
      <w:u w:val="single"/>
    </w:rPr>
  </w:style>
  <w:style w:type="character" w:styleId="11">
    <w:name w:val="Hyperlink"/>
    <w:basedOn w:val="8"/>
    <w:autoRedefine/>
    <w:qFormat/>
    <w:uiPriority w:val="0"/>
    <w:rPr>
      <w:color w:val="0000FF"/>
      <w:u w:val="single"/>
    </w:rPr>
  </w:style>
  <w:style w:type="character" w:styleId="12">
    <w:name w:val="annotation reference"/>
    <w:basedOn w:val="8"/>
    <w:semiHidden/>
    <w:unhideWhenUsed/>
    <w:uiPriority w:val="99"/>
    <w:rPr>
      <w:sz w:val="21"/>
      <w:szCs w:val="21"/>
    </w:rPr>
  </w:style>
  <w:style w:type="character" w:customStyle="1" w:styleId="13">
    <w:name w:val="批注框文本 字符"/>
    <w:link w:val="3"/>
    <w:autoRedefine/>
    <w:semiHidden/>
    <w:qFormat/>
    <w:locked/>
    <w:uiPriority w:val="99"/>
    <w:rPr>
      <w:sz w:val="2"/>
      <w:szCs w:val="2"/>
    </w:rPr>
  </w:style>
  <w:style w:type="character" w:customStyle="1" w:styleId="14">
    <w:name w:val="页脚 字符"/>
    <w:link w:val="4"/>
    <w:autoRedefine/>
    <w:semiHidden/>
    <w:qFormat/>
    <w:locked/>
    <w:uiPriority w:val="99"/>
    <w:rPr>
      <w:sz w:val="18"/>
      <w:szCs w:val="18"/>
    </w:rPr>
  </w:style>
  <w:style w:type="character" w:customStyle="1" w:styleId="15">
    <w:name w:val="页眉 字符"/>
    <w:link w:val="5"/>
    <w:autoRedefine/>
    <w:semiHidden/>
    <w:qFormat/>
    <w:locked/>
    <w:uiPriority w:val="99"/>
    <w:rPr>
      <w:sz w:val="18"/>
      <w:szCs w:val="18"/>
    </w:rPr>
  </w:style>
  <w:style w:type="paragraph" w:customStyle="1" w:styleId="16">
    <w:name w:val="修订1"/>
    <w:autoRedefine/>
    <w:hidden/>
    <w:semiHidden/>
    <w:qFormat/>
    <w:uiPriority w:val="99"/>
    <w:rPr>
      <w:rFonts w:ascii="Calibri" w:hAnsi="Calibri" w:eastAsia="宋体" w:cs="Calibri"/>
      <w:kern w:val="2"/>
      <w:sz w:val="21"/>
      <w:szCs w:val="21"/>
      <w:lang w:val="en-US" w:eastAsia="zh-CN" w:bidi="ar-SA"/>
    </w:rPr>
  </w:style>
  <w:style w:type="paragraph" w:styleId="17">
    <w:name w:val="List Paragraph"/>
    <w:basedOn w:val="1"/>
    <w:autoRedefine/>
    <w:qFormat/>
    <w:uiPriority w:val="99"/>
    <w:pPr>
      <w:ind w:firstLine="420" w:firstLineChars="200"/>
    </w:pPr>
  </w:style>
  <w:style w:type="paragraph" w:customStyle="1" w:styleId="18">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4023</Words>
  <Characters>4158</Characters>
  <Lines>32</Lines>
  <Paragraphs>9</Paragraphs>
  <TotalTime>2</TotalTime>
  <ScaleCrop>false</ScaleCrop>
  <LinksUpToDate>false</LinksUpToDate>
  <CharactersWithSpaces>4159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2021-07-14T10:31:00Z</dcterms:created>
  <dc:creator>admin</dc:creator>
  <cp:lastModifiedBy>莉莉安</cp:lastModifiedBy>
  <cp:lastPrinted>2017-08-12T04:07:00Z</cp:lastPrinted>
  <dcterms:modified xsi:type="dcterms:W3CDTF">2025-03-13T07:10:43Z</dcterms:modified>
  <dc:title>福建自贸试验区厦门片区航空维修产业人才评价领导小组关于报送2017年度航空维修产业助理工程师、工程师评审材料的通知</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88A8DAB9CEFC4A51BD69AF30526AF6C8</vt:lpwstr>
  </property>
  <property fmtid="{D5CDD505-2E9C-101B-9397-08002B2CF9AE}" pid="4" name="KSOTemplateDocerSaveRecord">
    <vt:lpwstr>eyJoZGlkIjoiODY5NTAxYTYzNTNjZGQ1YzBkNDk5ODY0ZGNhYmZhYTciLCJ1c2VySWQiOiI0MjUwNDU1NzgifQ==</vt:lpwstr>
  </property>
</Properties>
</file>