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海沧区申报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青年科技人才工作津贴办事指南</w:t>
      </w:r>
    </w:p>
    <w:p>
      <w:pPr>
        <w:wordWrap/>
        <w:adjustRightInd/>
        <w:snapToGrid/>
        <w:spacing w:line="560" w:lineRule="exact"/>
        <w:ind w:firstLine="628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对象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补贴标准</w:t>
      </w:r>
    </w:p>
    <w:p>
      <w:pPr>
        <w:widowControl w:val="0"/>
        <w:wordWrap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2021年7月1日起新引进的、在海沧区同一家企业连续工作满三年，并已申领厦门市新引进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生活补贴的全日制博士研究生、全日制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理工科</w:t>
      </w:r>
      <w:r>
        <w:rPr>
          <w:rFonts w:hint="eastAsia" w:ascii="仿宋_GB2312" w:hAnsi="仿宋_GB2312" w:eastAsia="仿宋_GB2312" w:cs="仿宋_GB2312"/>
          <w:sz w:val="32"/>
          <w:szCs w:val="32"/>
        </w:rPr>
        <w:t>硕士研究生、“双一流”高校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全日制理工科本科生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按照其学历层次分别给予博士研究生8万元、硕士研究生5万元、本科生3万元青年人才工作津贴。</w:t>
      </w:r>
    </w:p>
    <w:p>
      <w:pPr>
        <w:wordWrap/>
        <w:adjustRightInd/>
        <w:snapToGrid/>
        <w:spacing w:line="560" w:lineRule="exact"/>
        <w:ind w:firstLine="628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条件</w:t>
      </w:r>
    </w:p>
    <w:p>
      <w:pPr>
        <w:widowControl w:val="0"/>
        <w:wordWrap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1.已取得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相应申报条件的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2.已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u w:val="none"/>
          <w:lang w:eastAsia="zh-CN"/>
        </w:rPr>
        <w:t>在海沧</w:t>
      </w:r>
      <w:r>
        <w:rPr>
          <w:rFonts w:hint="eastAsia" w:ascii="仿宋_GB2312" w:hAnsi="仿宋_GB2312" w:eastAsia="仿宋_GB2312" w:cs="仿宋_GB2312"/>
          <w:sz w:val="32"/>
          <w:szCs w:val="32"/>
        </w:rPr>
        <w:t>申领厦门市新引进人才生活补贴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cya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3.自引进之日起在海沧区同一家企业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连续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缴纳社会保险已满三年（含）并且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申报时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仍在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海沧区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就业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wordWrap/>
        <w:adjustRightInd/>
        <w:snapToGrid/>
        <w:spacing w:line="560" w:lineRule="exact"/>
        <w:ind w:firstLine="628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ascii="黑体" w:hAnsi="黑体" w:eastAsia="黑体" w:cs="黑体"/>
          <w:sz w:val="32"/>
          <w:szCs w:val="32"/>
        </w:rPr>
        <w:t>时限</w:t>
      </w:r>
    </w:p>
    <w:p>
      <w:pPr>
        <w:pStyle w:val="11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ascii="宋体" w:hAnsi="宋体"/>
          <w:color w:val="333333"/>
        </w:rPr>
        <w:t>　　</w:t>
      </w:r>
      <w:r>
        <w:rPr>
          <w:rFonts w:hint="eastAsia" w:ascii="仿宋_GB2312" w:hAnsi="仿宋_GB2312" w:eastAsia="仿宋_GB2312" w:cs="仿宋_GB2312"/>
          <w:color w:val="333333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纳入申报范围的青年科技人才须在满足申报条件后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一年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经由所在用人单位提出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，逾期视为放弃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wordWrap/>
        <w:adjustRightInd/>
        <w:snapToGrid/>
        <w:spacing w:line="560" w:lineRule="exact"/>
        <w:ind w:firstLine="628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ascii="黑体" w:hAnsi="黑体" w:eastAsia="黑体" w:cs="黑体"/>
          <w:sz w:val="32"/>
          <w:szCs w:val="32"/>
        </w:rPr>
        <w:t>流程</w:t>
      </w:r>
    </w:p>
    <w:p>
      <w:pPr>
        <w:widowControl w:val="0"/>
        <w:wordWrap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在区政府官网发布的受理公告，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向所在用人单位提出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，用人单位审核同意后，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厦门市产业扶持管理系统平台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申请。</w:t>
      </w:r>
    </w:p>
    <w:p>
      <w:pPr>
        <w:pStyle w:val="11"/>
        <w:shd w:val="clear" w:color="auto" w:fill="FFFFFF"/>
        <w:wordWrap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2.受理：由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受理企业的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11"/>
        <w:shd w:val="clear" w:color="auto" w:fill="FFFFFF"/>
        <w:wordWrap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3.审核：由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11"/>
        <w:shd w:val="clear" w:color="auto" w:fill="FFFFFF"/>
        <w:wordWrap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4.公示：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对符合条件人员进行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示（5个工作日）。对公示期间发现存在不符合条件的，中止本次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11"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5.发放：经公示无异议的，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发放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11"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eastAsia="zh-CN"/>
        </w:rPr>
        <w:t>五、申报材料</w:t>
      </w:r>
    </w:p>
    <w:p>
      <w:pPr>
        <w:pStyle w:val="11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海沧区青年科技人才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申请表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》</w:t>
      </w:r>
    </w:p>
    <w:p>
      <w:pPr>
        <w:pStyle w:val="11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2.相应申报条件的学历学位证书。</w:t>
      </w:r>
    </w:p>
    <w:p>
      <w:pPr>
        <w:pStyle w:val="11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3.所在单位近一季度内显示缴税国库的凭证。</w:t>
      </w:r>
    </w:p>
    <w:p>
      <w:pPr>
        <w:pStyle w:val="11"/>
        <w:shd w:val="clear" w:color="auto" w:fill="FFFFFF"/>
        <w:wordWrap/>
        <w:adjustRightInd/>
        <w:snapToGrid/>
        <w:spacing w:before="0" w:beforeAutospacing="0" w:after="0" w:afterAutospacing="0" w:line="560" w:lineRule="exact"/>
        <w:textAlignment w:val="auto"/>
        <w:rPr>
          <w:rFonts w:ascii="黑体" w:hAnsi="黑体" w:eastAsia="黑体" w:cs="仿宋_GB2312"/>
          <w:kern w:val="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>　　</w:t>
      </w: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  <w:lang w:eastAsia="zh-CN"/>
        </w:rPr>
        <w:t>六</w:t>
      </w:r>
      <w:r>
        <w:rPr>
          <w:rFonts w:ascii="黑体" w:hAnsi="黑体" w:eastAsia="黑体" w:cs="仿宋_GB2312"/>
          <w:kern w:val="2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</w:rPr>
        <w:t>受理</w:t>
      </w: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  <w:lang w:val="en-US" w:eastAsia="zh-CN"/>
        </w:rPr>
        <w:t>网址</w:t>
      </w:r>
      <w:r>
        <w:rPr>
          <w:rFonts w:ascii="黑体" w:hAnsi="黑体" w:eastAsia="黑体" w:cs="仿宋_GB2312"/>
          <w:kern w:val="2"/>
          <w:sz w:val="32"/>
          <w:szCs w:val="32"/>
          <w:highlight w:val="none"/>
        </w:rPr>
        <w:t>及联系方式</w:t>
      </w:r>
    </w:p>
    <w:p>
      <w:pPr>
        <w:pStyle w:val="11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网址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：</w:t>
      </w:r>
      <w:r>
        <w:rPr>
          <w:rFonts w:hint="eastAsia" w:ascii="仿宋_GB2312" w:hAnsi="仿宋_GB2312" w:cs="仿宋_GB2312"/>
          <w:kern w:val="2"/>
          <w:sz w:val="32"/>
          <w:szCs w:val="32"/>
        </w:rPr>
        <w:t>https://zhcz.cz.xm.gov.cn/cyfc/</w:t>
      </w:r>
    </w:p>
    <w:p>
      <w:pPr>
        <w:pStyle w:val="11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联系电话：0592-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6896226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、6806778</w:t>
      </w:r>
    </w:p>
    <w:p>
      <w:pPr>
        <w:pStyle w:val="11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  <w:lang w:eastAsia="zh-CN"/>
        </w:rPr>
        <w:t>七</w:t>
      </w:r>
      <w:r>
        <w:rPr>
          <w:rFonts w:ascii="黑体" w:hAnsi="黑体" w:eastAsia="黑体" w:cs="仿宋_GB2312"/>
          <w:kern w:val="2"/>
          <w:sz w:val="32"/>
          <w:szCs w:val="32"/>
        </w:rPr>
        <w:t>、有关说明</w:t>
      </w:r>
    </w:p>
    <w:p>
      <w:pPr>
        <w:pStyle w:val="11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自2021年7月1日起至2026年12月31日政策到期前，新引进且已申领厦门市新引进毕业生生活补贴（或已完成公示）的青年科技人才，均可纳入申报范围。</w:t>
      </w:r>
    </w:p>
    <w:p>
      <w:pPr>
        <w:pStyle w:val="11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本指南中海沧区企业是指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税收归属地为海沧区的企业。</w:t>
      </w:r>
    </w:p>
    <w:p>
      <w:pPr>
        <w:pStyle w:val="11"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申报对象应遵纪守法，无违法犯罪记录。</w:t>
      </w:r>
    </w:p>
    <w:p>
      <w:pPr>
        <w:pStyle w:val="11"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新引进人才引进时点以首次引进时经市组织、人社或教育部门签署入厦报到的时间为准。</w:t>
      </w:r>
    </w:p>
    <w:p>
      <w:pPr>
        <w:pStyle w:val="11"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“双一流”建设高校（学科）本科即“一流大学”（不限专业）或“一流学科”（须符合建设学科名单）本科毕业生。</w:t>
      </w:r>
    </w:p>
    <w:p>
      <w:pPr>
        <w:pStyle w:val="11"/>
        <w:widowControl w:val="0"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right="0" w:firstLine="628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海沧区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为一次性补贴，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已享受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晋升学历的，不予补差。</w:t>
      </w:r>
    </w:p>
    <w:p>
      <w:pPr>
        <w:pStyle w:val="11"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补贴资金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发放给个人。</w:t>
      </w:r>
    </w:p>
    <w:p>
      <w:pPr>
        <w:pStyle w:val="11"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属于劳务派遣人员的，由实际用工单位进行审核申报，申报时需同时提供有效期内的劳务派遣协议。劳务派遣机构与实际用工单位均应是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海沧区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企业。</w:t>
      </w:r>
    </w:p>
    <w:p>
      <w:pPr>
        <w:pStyle w:val="11"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个人或用人单位提供虚假材料，或以不正当手段骗取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海沧区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青年科技人才工作津贴的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，一经发现即撤销资格，由用人单位负责追回补贴，并依照我市公共信用信息管理办法，将个人和用人单位有关信息纳入我市公共信用信息管理平台。</w:t>
      </w:r>
    </w:p>
    <w:p>
      <w:pPr>
        <w:pStyle w:val="11"/>
        <w:widowControl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海沧区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青年科技人才工作津贴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与新引进国际化青年人才工作津贴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及海沧区已发放的人才工作津贴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就高从优不重复”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11"/>
        <w:widowControl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本办事指南由区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人才办和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负责解释。</w:t>
      </w:r>
    </w:p>
    <w:p>
      <w:pPr>
        <w:pStyle w:val="11"/>
        <w:widowControl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11"/>
        <w:widowControl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11"/>
        <w:widowControl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sectPr>
      <w:footerReference r:id="rId4" w:type="default"/>
      <w:pgSz w:w="11850" w:h="16783"/>
      <w:pgMar w:top="2098" w:right="1474" w:bottom="1984" w:left="1587" w:header="850" w:footer="1134" w:gutter="0"/>
      <w:pgNumType w:fmt="decimal"/>
      <w:cols w:space="720" w:num="1"/>
      <w:rtlGutter w:val="0"/>
      <w:docGrid w:type="linesAndChars" w:linePitch="577" w:charSpace="-1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仿宋_GB2312" w:cs="Times New Roman"/>
        <w:kern w:val="2"/>
        <w:sz w:val="18"/>
        <w:lang w:val="en-US" w:eastAsia="zh-CN" w:bidi="ar-SA"/>
      </w:rPr>
      <w:pict>
        <v:rect id="文本框 1025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widowControl w:val="0"/>
                  <w:wordWrap/>
                  <w:adjustRightInd/>
                  <w:snapToGrid w:val="0"/>
                  <w:ind w:right="320" w:rightChars="100"/>
                  <w:jc w:val="right"/>
                  <w:textAlignment w:val="auto"/>
                  <w:outlineLvl w:val="9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 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500"/>
  <w:drawingGridHorizontalSpacing w:val="157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VlYjM1ZWJlMjY3M2Y2OGM5MWRmYjY5ODAwY2MwODcifQ=="/>
  </w:docVars>
  <w:rsids>
    <w:rsidRoot w:val="00172A27"/>
    <w:rsid w:val="00077216"/>
    <w:rsid w:val="00082AA6"/>
    <w:rsid w:val="000E75A2"/>
    <w:rsid w:val="000E76C0"/>
    <w:rsid w:val="0016201B"/>
    <w:rsid w:val="00243510"/>
    <w:rsid w:val="00246917"/>
    <w:rsid w:val="004205A9"/>
    <w:rsid w:val="006211B6"/>
    <w:rsid w:val="006A7DB8"/>
    <w:rsid w:val="00783C7D"/>
    <w:rsid w:val="007D25C5"/>
    <w:rsid w:val="00892261"/>
    <w:rsid w:val="009821C8"/>
    <w:rsid w:val="009C22EC"/>
    <w:rsid w:val="009F12EB"/>
    <w:rsid w:val="00A764B4"/>
    <w:rsid w:val="00A81F88"/>
    <w:rsid w:val="00AD5D30"/>
    <w:rsid w:val="00C264FC"/>
    <w:rsid w:val="00D557F9"/>
    <w:rsid w:val="00E67CA4"/>
    <w:rsid w:val="00F02965"/>
    <w:rsid w:val="00F16114"/>
    <w:rsid w:val="00F50032"/>
    <w:rsid w:val="00F5184C"/>
    <w:rsid w:val="00FB5F01"/>
    <w:rsid w:val="03D54632"/>
    <w:rsid w:val="067D20E5"/>
    <w:rsid w:val="0BC07802"/>
    <w:rsid w:val="0DC35F4D"/>
    <w:rsid w:val="10246BF8"/>
    <w:rsid w:val="10E31F2D"/>
    <w:rsid w:val="118E0681"/>
    <w:rsid w:val="11C91070"/>
    <w:rsid w:val="124F68EC"/>
    <w:rsid w:val="14521E15"/>
    <w:rsid w:val="17B9695C"/>
    <w:rsid w:val="19001833"/>
    <w:rsid w:val="1A836FBC"/>
    <w:rsid w:val="1AD91C17"/>
    <w:rsid w:val="1B371A34"/>
    <w:rsid w:val="1F707B20"/>
    <w:rsid w:val="242E4F6B"/>
    <w:rsid w:val="259E646E"/>
    <w:rsid w:val="27C35DCC"/>
    <w:rsid w:val="29FB4F39"/>
    <w:rsid w:val="2C16100F"/>
    <w:rsid w:val="2CD43613"/>
    <w:rsid w:val="2DB76445"/>
    <w:rsid w:val="2E2D0EB0"/>
    <w:rsid w:val="2E6D3CBB"/>
    <w:rsid w:val="2FC2636C"/>
    <w:rsid w:val="33E905E8"/>
    <w:rsid w:val="342F476C"/>
    <w:rsid w:val="372E5039"/>
    <w:rsid w:val="374723F7"/>
    <w:rsid w:val="39A35B40"/>
    <w:rsid w:val="3D813477"/>
    <w:rsid w:val="3E726EF0"/>
    <w:rsid w:val="3EFC23E1"/>
    <w:rsid w:val="3FBF02A9"/>
    <w:rsid w:val="3FF17514"/>
    <w:rsid w:val="401007F5"/>
    <w:rsid w:val="475DF8A0"/>
    <w:rsid w:val="49E46170"/>
    <w:rsid w:val="4A6E0241"/>
    <w:rsid w:val="4CA92B7B"/>
    <w:rsid w:val="4D0D0FB6"/>
    <w:rsid w:val="4EE202DA"/>
    <w:rsid w:val="4F1D753E"/>
    <w:rsid w:val="53745F79"/>
    <w:rsid w:val="53C46FFC"/>
    <w:rsid w:val="56026355"/>
    <w:rsid w:val="57BF160A"/>
    <w:rsid w:val="57CB71B8"/>
    <w:rsid w:val="59D67599"/>
    <w:rsid w:val="5A14039D"/>
    <w:rsid w:val="5A7C4202"/>
    <w:rsid w:val="5E45185C"/>
    <w:rsid w:val="5F2B1033"/>
    <w:rsid w:val="5F4E0B8B"/>
    <w:rsid w:val="63C24F39"/>
    <w:rsid w:val="68FB09C9"/>
    <w:rsid w:val="6A5531FC"/>
    <w:rsid w:val="6B34057A"/>
    <w:rsid w:val="6C61675C"/>
    <w:rsid w:val="6CFB7B0F"/>
    <w:rsid w:val="6DA60E8B"/>
    <w:rsid w:val="6F7F888F"/>
    <w:rsid w:val="6F9F57CA"/>
    <w:rsid w:val="6FEAA84A"/>
    <w:rsid w:val="7431270A"/>
    <w:rsid w:val="74BDACB1"/>
    <w:rsid w:val="74C3179F"/>
    <w:rsid w:val="76F55438"/>
    <w:rsid w:val="77AD3263"/>
    <w:rsid w:val="7EA7191F"/>
    <w:rsid w:val="7FBBDEE0"/>
    <w:rsid w:val="7FDB062C"/>
    <w:rsid w:val="7FEFC437"/>
    <w:rsid w:val="9F9EF192"/>
    <w:rsid w:val="AB577B47"/>
    <w:rsid w:val="D5DF711F"/>
    <w:rsid w:val="DFF63E2C"/>
    <w:rsid w:val="EEEDC0B8"/>
    <w:rsid w:val="F5EF2835"/>
    <w:rsid w:val="FBFB8C3C"/>
    <w:rsid w:val="FFDA41F3"/>
    <w:rsid w:val="FFE56119"/>
    <w:rsid w:val="FFFBD42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unhideWhenUsed/>
    <w:qFormat/>
    <w:uiPriority w:val="0"/>
    <w:pPr>
      <w:snapToGrid w:val="0"/>
      <w:jc w:val="left"/>
    </w:pPr>
    <w:rPr>
      <w:sz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styleId="7">
    <w:name w:val="footnote reference"/>
    <w:basedOn w:val="5"/>
    <w:unhideWhenUsed/>
    <w:qFormat/>
    <w:uiPriority w:val="0"/>
    <w:rPr>
      <w:vertAlign w:val="superscript"/>
    </w:rPr>
  </w:style>
  <w:style w:type="table" w:styleId="9">
    <w:name w:val="Table Grid"/>
    <w:basedOn w:val="8"/>
    <w:unhideWhenUsed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0">
    <w:name w:val="1.正文"/>
    <w:basedOn w:val="1"/>
    <w:next w:val="3"/>
    <w:qFormat/>
    <w:uiPriority w:val="99"/>
  </w:style>
  <w:style w:type="paragraph" w:customStyle="1" w:styleId="11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1069</Words>
  <Characters>1122</Characters>
  <Lines>8</Lines>
  <Paragraphs>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2023-06-22T11:48:00Z</dcterms:created>
  <dc:creator>Administrator</dc:creator>
  <cp:lastModifiedBy>Administrator</cp:lastModifiedBy>
  <cp:lastPrinted>2025-12-23T03:06:00Z</cp:lastPrinted>
  <dcterms:modified xsi:type="dcterms:W3CDTF">2025-12-23T08:56:37Z</dcterms:modified>
  <dc:title>新引进国际化青年人才工作津贴实施细则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2413F125B2154E949F7B12D7BE63DFC9_12</vt:lpwstr>
  </property>
</Properties>
</file>