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38" w:line="200" w:lineRule="auto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2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2"/>
          <w:kern w:val="0"/>
          <w:sz w:val="44"/>
          <w:szCs w:val="44"/>
          <w:shd w:val="clear" w:color="auto" w:fill="FFFFFF"/>
          <w:lang w:eastAsia="zh-CN"/>
        </w:rPr>
        <w:t>报名表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7"/>
        <w:tblW w:w="849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767"/>
        <w:gridCol w:w="1559"/>
        <w:gridCol w:w="22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地     址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职务/职称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邮    箱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单位概况</w:t>
            </w:r>
          </w:p>
        </w:tc>
        <w:tc>
          <w:tcPr>
            <w:tcW w:w="659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both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（主营业务、专业领域、技术创新、</w:t>
            </w:r>
            <w:bookmarkStart w:id="0" w:name="_GoBack"/>
            <w:bookmarkEnd w:id="0"/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特色产品等情况）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exact"/>
          <w:jc w:val="center"/>
        </w:trPr>
        <w:tc>
          <w:tcPr>
            <w:tcW w:w="1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产品名称</w:t>
            </w:r>
          </w:p>
        </w:tc>
        <w:tc>
          <w:tcPr>
            <w:tcW w:w="65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智能截流设备或水质监测仪、液位计的产品名称，有多种产品的逐个列出</w:t>
            </w: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性能优势</w:t>
            </w:r>
          </w:p>
        </w:tc>
        <w:tc>
          <w:tcPr>
            <w:tcW w:w="659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（阐述设备与行业同质设备或技术、材料相比的性能优势）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jc w:val="center"/>
        </w:trPr>
        <w:tc>
          <w:tcPr>
            <w:tcW w:w="1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主要参数</w:t>
            </w:r>
          </w:p>
        </w:tc>
        <w:tc>
          <w:tcPr>
            <w:tcW w:w="659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（列举设备的主要参数，可提供量化指标参数）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8" w:hRule="atLeast"/>
          <w:jc w:val="center"/>
        </w:trPr>
        <w:tc>
          <w:tcPr>
            <w:tcW w:w="1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应用效果</w:t>
            </w:r>
          </w:p>
        </w:tc>
        <w:tc>
          <w:tcPr>
            <w:tcW w:w="659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公文仿宋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（包括但不限于设备雨污分流效率的提高，以及其稳定性和易用性）</w:t>
            </w:r>
          </w:p>
        </w:tc>
      </w:tr>
    </w:tbl>
    <w:p>
      <w:pPr>
        <w:pageBreakBefore w:val="0"/>
        <w:wordWrap/>
        <w:overflowPunct w:val="0"/>
        <w:topLinePunct w:val="0"/>
        <w:bidi w:val="0"/>
        <w:jc w:val="left"/>
        <w:rPr>
          <w:rFonts w:ascii="宋体" w:hAnsi="宋体" w:eastAsia="方正公文仿宋"/>
          <w:sz w:val="10"/>
          <w:szCs w:val="10"/>
        </w:rPr>
      </w:pPr>
    </w:p>
    <w:p/>
    <w:sectPr>
      <w:headerReference r:id="rId3" w:type="first"/>
      <w:footerReference r:id="rId5" w:type="first"/>
      <w:footerReference r:id="rId4" w:type="default"/>
      <w:pgSz w:w="11905" w:h="16838"/>
      <w:pgMar w:top="1134" w:right="1701" w:bottom="1134" w:left="1701" w:header="0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kinsoku/>
      <w:autoSpaceDE/>
      <w:autoSpaceDN/>
      <w:adjustRightInd/>
      <w:snapToGrid w:val="0"/>
      <w:jc w:val="left"/>
      <w:textAlignment w:val="auto"/>
      <w:rPr>
        <w:rFonts w:ascii="Calibri" w:hAnsi="Calibri" w:eastAsia="方正仿宋简体" w:cs="Times New Roman"/>
        <w:snapToGrid/>
        <w:color w:val="000000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15CE2"/>
    <w:rsid w:val="018351E8"/>
    <w:rsid w:val="10F15CE2"/>
    <w:rsid w:val="17600C74"/>
    <w:rsid w:val="23745DD3"/>
    <w:rsid w:val="3DC66C07"/>
    <w:rsid w:val="5DA97D41"/>
    <w:rsid w:val="72FA2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snapToGrid w:val="0"/>
      <w:kern w:val="0"/>
    </w:rPr>
  </w:style>
  <w:style w:type="paragraph" w:styleId="4">
    <w:name w:val="Normal Indent"/>
    <w:basedOn w:val="1"/>
    <w:next w:val="1"/>
    <w:unhideWhenUsed/>
    <w:qFormat/>
    <w:uiPriority w:val="99"/>
    <w:pPr>
      <w:ind w:firstLine="88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2026-03-04T09:15:00Z</dcterms:created>
  <dc:creator>木枫桦澜</dc:creator>
  <cp:lastModifiedBy>LZF</cp:lastModifiedBy>
  <dcterms:modified xsi:type="dcterms:W3CDTF">2026-03-12T06:33:09Z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935BBB34715E4D42AF38589A3C8C5A59_11</vt:lpwstr>
  </property>
  <property fmtid="{D5CDD505-2E9C-101B-9397-08002B2CF9AE}" pid="4" name="KSOTemplateDocerSaveRecord">
    <vt:lpwstr>eyJoZGlkIjoiZTQ2MzU2YzhmNjkwMGRiMGQzNmIzNzQ5NjZiNWExMDMiLCJ1c2VySWQiOiIzODgwNzAifQ==</vt:lpwstr>
  </property>
</Properties>
</file>