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60" w:lineRule="exact"/>
        <w:ind w:left="0" w:leftChars="0" w:right="0" w:rightChars="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申请审核拨付程序</w:t>
      </w:r>
    </w:p>
    <w:p>
      <w:pPr>
        <w:keepNext w:val="0"/>
        <w:keepLines w:val="0"/>
        <w:pageBreakBefore w:val="0"/>
        <w:kinsoku/>
        <w:wordWrap/>
        <w:overflowPunct/>
        <w:topLinePunct w:val="0"/>
        <w:bidi w:val="0"/>
        <w:adjustRightInd/>
        <w:spacing w:line="560" w:lineRule="exact"/>
        <w:ind w:left="0" w:leftChars="0" w:right="0" w:rightChars="0"/>
        <w:jc w:val="center"/>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numPr>
          <w:ilvl w:val="0"/>
          <w:numId w:val="0"/>
        </w:numPr>
        <w:kinsoku/>
        <w:wordWrap/>
        <w:overflowPunct/>
        <w:topLinePunct w:val="0"/>
        <w:bidi w:val="0"/>
        <w:adjustRightInd/>
        <w:spacing w:line="560" w:lineRule="exact"/>
        <w:ind w:left="0" w:leftChars="0" w:right="0" w:righ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一、申请材料</w:t>
      </w:r>
    </w:p>
    <w:p>
      <w:pPr>
        <w:keepNext w:val="0"/>
        <w:keepLines w:val="0"/>
        <w:pageBreakBefore w:val="0"/>
        <w:numPr>
          <w:ilvl w:val="0"/>
          <w:numId w:val="0"/>
        </w:numPr>
        <w:kinsoku/>
        <w:wordWrap/>
        <w:overflowPunct/>
        <w:topLinePunct w:val="0"/>
        <w:bidi w:val="0"/>
        <w:adjustRightInd/>
        <w:spacing w:line="560" w:lineRule="exact"/>
        <w:ind w:left="0" w:leftChars="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楷体_GB2312" w:hAnsi="楷体_GB2312" w:eastAsia="楷体_GB2312" w:cs="楷体_GB2312"/>
          <w:b w:val="0"/>
          <w:bCs w:val="0"/>
          <w:kern w:val="2"/>
          <w:sz w:val="32"/>
          <w:szCs w:val="32"/>
          <w:lang w:val="en-US" w:eastAsia="zh-CN" w:bidi="ar-SA"/>
        </w:rPr>
        <w:t xml:space="preserve">  （一）申请股权交易扶持资金</w:t>
      </w:r>
      <w:r>
        <w:rPr>
          <w:rFonts w:hint="eastAsia" w:ascii="仿宋_GB2312" w:hAnsi="仿宋_GB2312" w:eastAsia="仿宋_GB2312" w:cs="仿宋_GB2312"/>
          <w:b w:val="0"/>
          <w:bCs w:val="0"/>
          <w:kern w:val="2"/>
          <w:sz w:val="32"/>
          <w:szCs w:val="32"/>
          <w:lang w:val="en-US" w:eastAsia="zh-CN" w:bidi="ar-SA"/>
        </w:rPr>
        <w:t xml:space="preserve">    </w:t>
      </w:r>
    </w:p>
    <w:p>
      <w:pPr>
        <w:keepNext w:val="0"/>
        <w:keepLines w:val="0"/>
        <w:pageBreakBefore w:val="0"/>
        <w:numPr>
          <w:ilvl w:val="0"/>
          <w:numId w:val="0"/>
        </w:numPr>
        <w:kinsoku/>
        <w:wordWrap/>
        <w:overflowPunct/>
        <w:topLinePunct w:val="0"/>
        <w:bidi w:val="0"/>
        <w:adjustRightInd/>
        <w:spacing w:line="560" w:lineRule="exact"/>
        <w:ind w:left="0" w:leftChars="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1.扶持资金申请书；</w:t>
      </w:r>
    </w:p>
    <w:p>
      <w:pPr>
        <w:keepNext w:val="0"/>
        <w:keepLines w:val="0"/>
        <w:pageBreakBefore w:val="0"/>
        <w:numPr>
          <w:ilvl w:val="0"/>
          <w:numId w:val="0"/>
        </w:numPr>
        <w:kinsoku/>
        <w:wordWrap/>
        <w:overflowPunct/>
        <w:topLinePunct w:val="0"/>
        <w:bidi w:val="0"/>
        <w:adjustRightInd/>
        <w:spacing w:line="560" w:lineRule="exact"/>
        <w:ind w:left="0" w:leftChars="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2.《厦门市海沧区企业区域性股权交易市场实现股权交易扶持资金申请表》；</w:t>
      </w:r>
    </w:p>
    <w:p>
      <w:pPr>
        <w:keepNext w:val="0"/>
        <w:keepLines w:val="0"/>
        <w:pageBreakBefore w:val="0"/>
        <w:numPr>
          <w:ilvl w:val="0"/>
          <w:numId w:val="0"/>
        </w:numPr>
        <w:kinsoku/>
        <w:wordWrap/>
        <w:overflowPunct/>
        <w:topLinePunct w:val="0"/>
        <w:bidi w:val="0"/>
        <w:adjustRightInd/>
        <w:spacing w:line="560" w:lineRule="exact"/>
        <w:ind w:left="0" w:leftChars="0" w:right="0" w:right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3.区域性股权交易市场出具的企业实现股权交易的证明。</w:t>
      </w:r>
    </w:p>
    <w:p>
      <w:pPr>
        <w:keepNext w:val="0"/>
        <w:keepLines w:val="0"/>
        <w:pageBreakBefore w:val="0"/>
        <w:numPr>
          <w:ilvl w:val="0"/>
          <w:numId w:val="0"/>
        </w:numPr>
        <w:kinsoku/>
        <w:wordWrap/>
        <w:overflowPunct/>
        <w:topLinePunct w:val="0"/>
        <w:bidi w:val="0"/>
        <w:adjustRightInd/>
        <w:spacing w:line="560" w:lineRule="exact"/>
        <w:ind w:left="0" w:leftChars="0" w:right="0" w:rightChars="0"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（二）申请股权交易融资奖励资金</w:t>
      </w:r>
    </w:p>
    <w:p>
      <w:pPr>
        <w:keepNext w:val="0"/>
        <w:keepLines w:val="0"/>
        <w:pageBreakBefore w:val="0"/>
        <w:numPr>
          <w:ilvl w:val="0"/>
          <w:numId w:val="0"/>
        </w:numPr>
        <w:kinsoku/>
        <w:wordWrap/>
        <w:overflowPunct/>
        <w:topLinePunct w:val="0"/>
        <w:bidi w:val="0"/>
        <w:adjustRightInd/>
        <w:spacing w:line="56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1.具有证券业务资格的会计师事务所出具的股份公司募集资金在海沧投资的鉴证报告；</w:t>
      </w:r>
    </w:p>
    <w:p>
      <w:pPr>
        <w:keepNext w:val="0"/>
        <w:keepLines w:val="0"/>
        <w:pageBreakBefore w:val="0"/>
        <w:widowControl w:val="0"/>
        <w:kinsoku/>
        <w:wordWrap/>
        <w:overflowPunct/>
        <w:topLinePunct w:val="0"/>
        <w:autoSpaceDE w:val="0"/>
        <w:autoSpaceDN w:val="0"/>
        <w:bidi w:val="0"/>
        <w:adjustRightInd/>
        <w:spacing w:line="560" w:lineRule="exact"/>
        <w:ind w:left="0" w:leftChars="0" w:right="0" w:rightChars="0"/>
        <w:textAlignment w:val="auto"/>
        <w:rPr>
          <w:rFonts w:hint="eastAsia" w:ascii="仿宋_GB2312" w:hAnsi="仿宋_GB2312" w:eastAsia="仿宋_GB2312"/>
          <w:b w:val="0"/>
          <w:bCs w:val="0"/>
          <w:sz w:val="32"/>
          <w:lang w:val="en-US" w:eastAsia="zh-CN"/>
        </w:rPr>
      </w:pPr>
      <w:r>
        <w:rPr>
          <w:rFonts w:hint="eastAsia" w:ascii="仿宋_GB2312" w:hAnsi="仿宋_GB2312" w:eastAsia="仿宋_GB2312" w:cs="仿宋_GB2312"/>
          <w:b w:val="0"/>
          <w:bCs w:val="0"/>
          <w:kern w:val="2"/>
          <w:sz w:val="32"/>
          <w:szCs w:val="32"/>
          <w:lang w:val="en-US" w:eastAsia="zh-CN" w:bidi="ar-SA"/>
        </w:rPr>
        <w:t xml:space="preserve">    2.</w:t>
      </w:r>
      <w:r>
        <w:rPr>
          <w:rFonts w:hint="eastAsia" w:ascii="仿宋_GB2312" w:hAnsi="仿宋_GB2312" w:eastAsia="仿宋_GB2312"/>
          <w:b w:val="0"/>
          <w:bCs w:val="0"/>
          <w:sz w:val="32"/>
        </w:rPr>
        <w:t>其他在</w:t>
      </w:r>
      <w:r>
        <w:rPr>
          <w:rFonts w:hint="eastAsia" w:ascii="仿宋_GB2312" w:hAnsi="仿宋_GB2312" w:eastAsia="仿宋_GB2312"/>
          <w:b w:val="0"/>
          <w:bCs w:val="0"/>
          <w:sz w:val="32"/>
          <w:lang w:eastAsia="zh-CN"/>
        </w:rPr>
        <w:t>海沧</w:t>
      </w:r>
      <w:r>
        <w:rPr>
          <w:rFonts w:hint="eastAsia" w:ascii="仿宋_GB2312" w:hAnsi="仿宋_GB2312" w:eastAsia="仿宋_GB2312"/>
          <w:b w:val="0"/>
          <w:bCs w:val="0"/>
          <w:sz w:val="32"/>
        </w:rPr>
        <w:t>直接投资的证明材料，其中增加在海沧注册企业注册资本金的需提供会计师事务所</w:t>
      </w:r>
      <w:r>
        <w:rPr>
          <w:rFonts w:hint="eastAsia" w:ascii="仿宋_GB2312" w:hAnsi="仿宋_GB2312" w:eastAsia="仿宋_GB2312"/>
          <w:b w:val="0"/>
          <w:bCs w:val="0"/>
          <w:sz w:val="32"/>
          <w:lang w:eastAsia="zh-CN"/>
        </w:rPr>
        <w:t>出具</w:t>
      </w:r>
      <w:r>
        <w:rPr>
          <w:rFonts w:hint="eastAsia" w:ascii="仿宋_GB2312" w:hAnsi="仿宋_GB2312" w:eastAsia="仿宋_GB2312"/>
          <w:b w:val="0"/>
          <w:bCs w:val="0"/>
          <w:sz w:val="32"/>
        </w:rPr>
        <w:t>的验资报告及变更后工商营业执照；购置资产的需提供购置合同及付款证明材料等</w:t>
      </w:r>
      <w:r>
        <w:rPr>
          <w:rFonts w:hint="eastAsia" w:ascii="仿宋_GB2312" w:hAnsi="仿宋_GB2312" w:eastAsia="仿宋_GB2312"/>
          <w:b w:val="0"/>
          <w:bCs w:val="0"/>
          <w:sz w:val="32"/>
          <w:lang w:val="en-US" w:eastAsia="zh-CN"/>
        </w:rPr>
        <w:t>。</w:t>
      </w:r>
    </w:p>
    <w:p>
      <w:pPr>
        <w:keepNext w:val="0"/>
        <w:keepLines w:val="0"/>
        <w:pageBreakBefore w:val="0"/>
        <w:numPr>
          <w:ilvl w:val="0"/>
          <w:numId w:val="0"/>
        </w:numPr>
        <w:kinsoku/>
        <w:wordWrap/>
        <w:overflowPunct/>
        <w:topLinePunct w:val="0"/>
        <w:bidi w:val="0"/>
        <w:adjustRightInd/>
        <w:spacing w:line="560" w:lineRule="exact"/>
        <w:ind w:left="0" w:leftChars="0" w:right="0" w:righ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二、审核拨付流程</w:t>
      </w:r>
    </w:p>
    <w:p>
      <w:pPr>
        <w:keepNext w:val="0"/>
        <w:keepLines w:val="0"/>
        <w:pageBreakBefore w:val="0"/>
        <w:numPr>
          <w:ilvl w:val="0"/>
          <w:numId w:val="0"/>
        </w:numPr>
        <w:kinsoku/>
        <w:wordWrap/>
        <w:overflowPunct/>
        <w:topLinePunct w:val="0"/>
        <w:bidi w:val="0"/>
        <w:adjustRightInd/>
        <w:spacing w:line="560" w:lineRule="exact"/>
        <w:ind w:left="0" w:leftChars="0" w:right="0" w:rightChars="0"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（一）初审</w:t>
      </w:r>
    </w:p>
    <w:p>
      <w:pPr>
        <w:keepNext w:val="0"/>
        <w:keepLines w:val="0"/>
        <w:pageBreakBefore w:val="0"/>
        <w:numPr>
          <w:ilvl w:val="0"/>
          <w:numId w:val="0"/>
        </w:numPr>
        <w:kinsoku/>
        <w:wordWrap/>
        <w:overflowPunct/>
        <w:topLinePunct w:val="0"/>
        <w:bidi w:val="0"/>
        <w:adjustRightInd/>
        <w:spacing w:line="560" w:lineRule="exact"/>
        <w:ind w:left="0" w:leftChars="0" w:right="0" w:rightChars="0" w:firstLine="64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企业将书面申请材料加盖公章后报区金融办，区金融办提出初审意见后，将相关材料报送区财政局审核。</w:t>
      </w:r>
    </w:p>
    <w:p>
      <w:pPr>
        <w:keepNext w:val="0"/>
        <w:keepLines w:val="0"/>
        <w:pageBreakBefore w:val="0"/>
        <w:numPr>
          <w:ilvl w:val="0"/>
          <w:numId w:val="0"/>
        </w:numPr>
        <w:kinsoku/>
        <w:wordWrap/>
        <w:overflowPunct/>
        <w:topLinePunct w:val="0"/>
        <w:bidi w:val="0"/>
        <w:adjustRightInd/>
        <w:spacing w:line="560" w:lineRule="exact"/>
        <w:ind w:left="0" w:leftChars="0" w:right="0" w:rightChars="0" w:firstLine="640" w:firstLine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（二）复审并拨付</w:t>
      </w:r>
    </w:p>
    <w:p>
      <w:pPr>
        <w:keepNext w:val="0"/>
        <w:keepLines w:val="0"/>
        <w:pageBreakBefore w:val="0"/>
        <w:numPr>
          <w:ilvl w:val="0"/>
          <w:numId w:val="0"/>
        </w:numPr>
        <w:kinsoku/>
        <w:wordWrap/>
        <w:overflowPunct/>
        <w:topLinePunct w:val="0"/>
        <w:bidi w:val="0"/>
        <w:adjustRightInd/>
        <w:spacing w:line="560" w:lineRule="exact"/>
        <w:ind w:left="0" w:leftChars="0" w:right="0" w:rightChars="0" w:firstLine="64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相关材料由区财政局复审通过后，报区政府相关分管领导审定后，由区财政局将资金拨付至企业。</w:t>
      </w:r>
    </w:p>
    <w:p>
      <w:pPr>
        <w:keepNext w:val="0"/>
        <w:keepLines w:val="0"/>
        <w:pageBreakBefore w:val="0"/>
        <w:kinsoku/>
        <w:wordWrap/>
        <w:overflowPunct/>
        <w:topLinePunct w:val="0"/>
        <w:bidi w:val="0"/>
        <w:adjustRightInd/>
        <w:spacing w:line="560" w:lineRule="exact"/>
        <w:ind w:left="0" w:leftChars="0" w:right="0" w:rightChars="0"/>
        <w:jc w:val="left"/>
        <w:textAlignment w:val="auto"/>
        <w:rPr>
          <w:rFonts w:hint="eastAsia" w:ascii="仿宋" w:hAnsi="仿宋" w:eastAsia="仿宋" w:cs="仿宋"/>
          <w:b w:val="0"/>
          <w:bCs w:val="0"/>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059C4"/>
    <w:rsid w:val="5C00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区政府办公室</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2019-11-07T02:29:00Z</dcterms:created>
  <dc:creator>陈</dc:creator>
  <cp:lastModifiedBy>陈</cp:lastModifiedBy>
  <dcterms:modified xsi:type="dcterms:W3CDTF">2019-11-07T02:30:07Z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