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附件</w:t>
      </w:r>
      <w:r>
        <w:rPr>
          <w:rFonts w:hint="eastAsia" w:ascii="仿宋_GB2312" w:hAnsi="仿宋_GB2312" w:eastAsia="仿宋_GB2312" w:cs="仿宋_GB2312"/>
          <w:b w:val="0"/>
          <w:bCs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2024年度新阳街道安全生产和消防工作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主要目标责任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eastAsia="zh-CN"/>
        </w:rPr>
        <w:t>一、安全生产方面</w:t>
      </w:r>
    </w:p>
    <w:p>
      <w:pPr>
        <w:keepNext w:val="0"/>
        <w:keepLines w:val="0"/>
        <w:pageBreakBefore w:val="0"/>
        <w:widowControl w:val="0"/>
        <w:kinsoku/>
        <w:wordWrap/>
        <w:overflowPunct/>
        <w:topLinePunct w:val="0"/>
        <w:autoSpaceDE w:val="0"/>
        <w:autoSpaceDN w:val="0"/>
        <w:bidi w:val="0"/>
        <w:adjustRightInd w:val="0"/>
        <w:snapToGrid/>
        <w:spacing w:beforeAutospacing="0" w:line="560" w:lineRule="exact"/>
        <w:ind w:firstLine="643" w:firstLineChars="200"/>
        <w:jc w:val="both"/>
        <w:textAlignment w:val="auto"/>
        <w:rPr>
          <w:rFonts w:hint="default" w:ascii="Times New Roman" w:hAnsi="Times New Roman" w:eastAsia="仿宋_GB2312" w:cs="Times New Roman"/>
          <w:color w:val="auto"/>
          <w:spacing w:val="0"/>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（一）提高政治站位。</w:t>
      </w:r>
      <w:r>
        <w:rPr>
          <w:rFonts w:hint="default" w:ascii="Times New Roman" w:hAnsi="Times New Roman" w:eastAsia="仿宋_GB2312" w:cs="Times New Roman"/>
          <w:color w:val="auto"/>
          <w:spacing w:val="0"/>
          <w:sz w:val="32"/>
          <w:szCs w:val="32"/>
          <w:highlight w:val="none"/>
          <w:lang w:eastAsia="zh-CN"/>
        </w:rPr>
        <w:t>坚持以习近平新时代中国特色社会主义思想为指导，深入贯彻落实习近平总书记关于安全生产工作的一系列重要指示批示精神，进一步牢固树立安全发展理念，强化红线意识、坚持底线思维，按照中央和省决策部署，落实</w:t>
      </w:r>
      <w:r>
        <w:rPr>
          <w:rFonts w:hint="eastAsia"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lang w:eastAsia="zh-CN"/>
        </w:rPr>
        <w:t>委</w:t>
      </w:r>
      <w:r>
        <w:rPr>
          <w:rFonts w:hint="eastAsia"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lang w:eastAsia="zh-CN"/>
        </w:rPr>
        <w:t>政府</w:t>
      </w:r>
      <w:r>
        <w:rPr>
          <w:rFonts w:hint="eastAsia" w:eastAsia="仿宋_GB2312" w:cs="Times New Roman"/>
          <w:color w:val="auto"/>
          <w:spacing w:val="0"/>
          <w:sz w:val="32"/>
          <w:szCs w:val="32"/>
          <w:highlight w:val="none"/>
          <w:lang w:eastAsia="zh-CN"/>
        </w:rPr>
        <w:t>、</w:t>
      </w:r>
      <w:r>
        <w:rPr>
          <w:rFonts w:hint="eastAsia"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lang w:eastAsia="zh-CN"/>
        </w:rPr>
        <w:t>安委会</w:t>
      </w:r>
      <w:r>
        <w:rPr>
          <w:rFonts w:hint="eastAsia" w:eastAsia="仿宋_GB2312" w:cs="Times New Roman"/>
          <w:color w:val="auto"/>
          <w:spacing w:val="0"/>
          <w:sz w:val="32"/>
          <w:szCs w:val="32"/>
          <w:highlight w:val="none"/>
          <w:lang w:eastAsia="zh-CN"/>
        </w:rPr>
        <w:t>和街道</w:t>
      </w:r>
      <w:r>
        <w:rPr>
          <w:rFonts w:hint="default" w:ascii="Times New Roman" w:hAnsi="Times New Roman" w:eastAsia="仿宋_GB2312" w:cs="Times New Roman"/>
          <w:color w:val="auto"/>
          <w:spacing w:val="0"/>
          <w:sz w:val="32"/>
          <w:szCs w:val="32"/>
          <w:highlight w:val="none"/>
          <w:lang w:eastAsia="zh-CN"/>
        </w:rPr>
        <w:t>有关工作要求，扎实开展安全生产各项工作。</w:t>
      </w:r>
    </w:p>
    <w:p>
      <w:pPr>
        <w:keepNext w:val="0"/>
        <w:keepLines w:val="0"/>
        <w:pageBreakBefore w:val="0"/>
        <w:widowControl w:val="0"/>
        <w:kinsoku/>
        <w:wordWrap/>
        <w:overflowPunct/>
        <w:topLinePunct w:val="0"/>
        <w:bidi w:val="0"/>
        <w:adjustRightInd w:val="0"/>
        <w:snapToGrid w:val="0"/>
        <w:spacing w:before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color w:val="auto"/>
          <w:spacing w:val="0"/>
          <w:kern w:val="0"/>
          <w:sz w:val="32"/>
          <w:szCs w:val="32"/>
          <w:highlight w:val="none"/>
          <w:u w:val="none" w:color="auto"/>
        </w:rPr>
      </w:pPr>
      <w:r>
        <w:rPr>
          <w:rFonts w:hint="eastAsia" w:ascii="楷体_GB2312" w:hAnsi="楷体_GB2312" w:eastAsia="楷体_GB2312" w:cs="楷体_GB2312"/>
          <w:b/>
          <w:bCs/>
          <w:color w:val="auto"/>
          <w:sz w:val="32"/>
          <w:szCs w:val="32"/>
          <w:highlight w:val="none"/>
          <w:lang w:eastAsia="zh-CN"/>
        </w:rPr>
        <w:t>（</w:t>
      </w:r>
      <w:r>
        <w:rPr>
          <w:rFonts w:hint="default" w:ascii="楷体_GB2312" w:hAnsi="楷体_GB2312" w:eastAsia="楷体_GB2312" w:cs="楷体_GB2312"/>
          <w:b/>
          <w:bCs/>
          <w:color w:val="auto"/>
          <w:sz w:val="32"/>
          <w:szCs w:val="32"/>
          <w:highlight w:val="none"/>
          <w:lang w:eastAsia="zh-CN"/>
        </w:rPr>
        <w:t>二</w:t>
      </w:r>
      <w:r>
        <w:rPr>
          <w:rFonts w:hint="eastAsia" w:ascii="楷体_GB2312" w:hAnsi="楷体_GB2312" w:eastAsia="楷体_GB2312" w:cs="楷体_GB2312"/>
          <w:b/>
          <w:bCs/>
          <w:color w:val="auto"/>
          <w:sz w:val="32"/>
          <w:szCs w:val="32"/>
          <w:highlight w:val="none"/>
          <w:lang w:eastAsia="zh-CN"/>
        </w:rPr>
        <w:t>）</w:t>
      </w:r>
      <w:r>
        <w:rPr>
          <w:rFonts w:hint="default" w:ascii="楷体_GB2312" w:hAnsi="楷体_GB2312" w:eastAsia="楷体_GB2312" w:cs="楷体_GB2312"/>
          <w:b/>
          <w:bCs/>
          <w:color w:val="auto"/>
          <w:sz w:val="32"/>
          <w:szCs w:val="32"/>
          <w:highlight w:val="none"/>
          <w:lang w:eastAsia="zh-CN"/>
        </w:rPr>
        <w:t>强化责任落实。</w:t>
      </w:r>
      <w:r>
        <w:rPr>
          <w:rFonts w:hint="default" w:ascii="Times New Roman" w:hAnsi="Times New Roman" w:eastAsia="仿宋_GB2312" w:cs="Times New Roman"/>
          <w:snapToGrid/>
          <w:color w:val="auto"/>
          <w:spacing w:val="0"/>
          <w:kern w:val="0"/>
          <w:sz w:val="32"/>
          <w:szCs w:val="32"/>
          <w:highlight w:val="none"/>
          <w:u w:val="none" w:color="auto"/>
        </w:rPr>
        <w:t>深入贯彻落实《地方党政领导干部安全生产责任制规定》和</w:t>
      </w:r>
      <w:r>
        <w:rPr>
          <w:rFonts w:hint="eastAsia" w:ascii="Times New Roman" w:hAnsi="Times New Roman" w:eastAsia="仿宋_GB2312" w:cs="Times New Roman"/>
          <w:snapToGrid/>
          <w:color w:val="auto"/>
          <w:spacing w:val="0"/>
          <w:kern w:val="0"/>
          <w:sz w:val="32"/>
          <w:szCs w:val="32"/>
          <w:highlight w:val="none"/>
          <w:u w:val="none" w:color="auto"/>
          <w:lang w:eastAsia="zh-CN"/>
        </w:rPr>
        <w:t>省、市</w:t>
      </w:r>
      <w:r>
        <w:rPr>
          <w:rFonts w:hint="eastAsia" w:eastAsia="仿宋_GB2312" w:cs="Times New Roman"/>
          <w:snapToGrid/>
          <w:color w:val="auto"/>
          <w:spacing w:val="0"/>
          <w:kern w:val="0"/>
          <w:sz w:val="32"/>
          <w:szCs w:val="32"/>
          <w:highlight w:val="none"/>
          <w:u w:val="none" w:color="auto"/>
          <w:lang w:eastAsia="zh-CN"/>
        </w:rPr>
        <w:t>、区</w:t>
      </w:r>
      <w:r>
        <w:rPr>
          <w:rFonts w:hint="default" w:ascii="Times New Roman" w:hAnsi="Times New Roman" w:eastAsia="仿宋_GB2312" w:cs="Times New Roman"/>
          <w:snapToGrid/>
          <w:color w:val="auto"/>
          <w:spacing w:val="0"/>
          <w:kern w:val="0"/>
          <w:sz w:val="32"/>
          <w:szCs w:val="32"/>
          <w:highlight w:val="none"/>
          <w:u w:val="none" w:color="auto"/>
        </w:rPr>
        <w:t>实施细则，</w:t>
      </w:r>
      <w:r>
        <w:rPr>
          <w:rFonts w:hint="eastAsia" w:ascii="仿宋_GB2312" w:hAnsi="仿宋_GB2312" w:eastAsia="仿宋_GB2312" w:cs="仿宋_GB2312"/>
          <w:snapToGrid/>
          <w:color w:val="auto"/>
          <w:spacing w:val="0"/>
          <w:kern w:val="0"/>
          <w:sz w:val="32"/>
          <w:szCs w:val="32"/>
          <w:highlight w:val="none"/>
          <w:u w:val="none" w:color="auto"/>
        </w:rPr>
        <w:t>按照“党政同责、一岗双责、齐抓共管、失职追责”的要求，督促</w:t>
      </w:r>
      <w:r>
        <w:rPr>
          <w:rFonts w:hint="eastAsia" w:ascii="仿宋_GB2312" w:hAnsi="仿宋_GB2312" w:eastAsia="仿宋_GB2312" w:cs="仿宋_GB2312"/>
          <w:snapToGrid/>
          <w:color w:val="auto"/>
          <w:spacing w:val="0"/>
          <w:kern w:val="0"/>
          <w:sz w:val="32"/>
          <w:szCs w:val="32"/>
          <w:highlight w:val="none"/>
          <w:u w:val="none" w:color="auto"/>
          <w:lang w:eastAsia="zh-CN"/>
        </w:rPr>
        <w:t>相关业务口和村（居）</w:t>
      </w:r>
      <w:r>
        <w:rPr>
          <w:rFonts w:hint="eastAsia" w:ascii="仿宋_GB2312" w:hAnsi="仿宋_GB2312" w:eastAsia="仿宋_GB2312" w:cs="仿宋_GB2312"/>
          <w:snapToGrid/>
          <w:color w:val="auto"/>
          <w:spacing w:val="0"/>
          <w:kern w:val="0"/>
          <w:sz w:val="32"/>
          <w:szCs w:val="32"/>
          <w:highlight w:val="none"/>
          <w:u w:val="none" w:color="auto"/>
        </w:rPr>
        <w:t>落实属地管理责任</w:t>
      </w:r>
      <w:r>
        <w:rPr>
          <w:rFonts w:hint="eastAsia" w:ascii="仿宋_GB2312" w:hAnsi="仿宋_GB2312" w:eastAsia="仿宋_GB2312" w:cs="仿宋_GB2312"/>
          <w:snapToGrid/>
          <w:color w:val="auto"/>
          <w:spacing w:val="0"/>
          <w:kern w:val="0"/>
          <w:sz w:val="32"/>
          <w:szCs w:val="32"/>
          <w:highlight w:val="none"/>
          <w:u w:val="none" w:color="auto"/>
          <w:lang w:eastAsia="zh-CN"/>
        </w:rPr>
        <w:t>，细化完善党政领导干部安全生产职责清单和年度任务清单并落实到位</w:t>
      </w:r>
      <w:r>
        <w:rPr>
          <w:rFonts w:hint="eastAsia" w:ascii="仿宋_GB2312" w:hAnsi="仿宋_GB2312" w:eastAsia="仿宋_GB2312" w:cs="仿宋_GB2312"/>
          <w:snapToGrid/>
          <w:color w:val="auto"/>
          <w:spacing w:val="0"/>
          <w:kern w:val="0"/>
          <w:sz w:val="32"/>
          <w:szCs w:val="32"/>
          <w:highlight w:val="none"/>
          <w:u w:val="none" w:color="auto"/>
        </w:rPr>
        <w:t>。推动各有关部门严格落实“三管三必须”责任，</w:t>
      </w:r>
      <w:r>
        <w:rPr>
          <w:rFonts w:hint="eastAsia" w:ascii="仿宋_GB2312" w:hAnsi="仿宋_GB2312" w:eastAsia="仿宋_GB2312" w:cs="仿宋_GB2312"/>
          <w:snapToGrid/>
          <w:color w:val="auto"/>
          <w:spacing w:val="0"/>
          <w:kern w:val="0"/>
          <w:sz w:val="32"/>
          <w:szCs w:val="32"/>
          <w:highlight w:val="none"/>
          <w:u w:val="none" w:color="auto"/>
          <w:lang w:eastAsia="zh-CN"/>
        </w:rPr>
        <w:t>按照</w:t>
      </w:r>
      <w:r>
        <w:rPr>
          <w:rFonts w:hint="eastAsia" w:ascii="仿宋_GB2312" w:hAnsi="仿宋_GB2312" w:eastAsia="仿宋_GB2312" w:cs="仿宋_GB2312"/>
          <w:snapToGrid/>
          <w:color w:val="auto"/>
          <w:spacing w:val="0"/>
          <w:kern w:val="0"/>
          <w:sz w:val="32"/>
          <w:szCs w:val="32"/>
          <w:highlight w:val="none"/>
          <w:u w:val="none" w:color="auto"/>
        </w:rPr>
        <w:t>“谁主管谁牵头、谁为主谁牵头、谁靠近谁牵头”</w:t>
      </w:r>
      <w:r>
        <w:rPr>
          <w:rFonts w:hint="eastAsia" w:ascii="仿宋_GB2312" w:hAnsi="仿宋_GB2312" w:eastAsia="仿宋_GB2312" w:cs="仿宋_GB2312"/>
          <w:snapToGrid/>
          <w:color w:val="auto"/>
          <w:spacing w:val="0"/>
          <w:kern w:val="0"/>
          <w:sz w:val="32"/>
          <w:szCs w:val="32"/>
          <w:highlight w:val="none"/>
          <w:u w:val="none" w:color="auto"/>
          <w:lang w:eastAsia="zh-CN"/>
        </w:rPr>
        <w:t>原则，</w:t>
      </w:r>
      <w:r>
        <w:rPr>
          <w:rFonts w:hint="eastAsia" w:ascii="仿宋_GB2312" w:hAnsi="仿宋_GB2312" w:eastAsia="仿宋_GB2312" w:cs="仿宋_GB2312"/>
          <w:b w:val="0"/>
          <w:bCs w:val="0"/>
          <w:snapToGrid/>
          <w:color w:val="auto"/>
          <w:spacing w:val="0"/>
          <w:kern w:val="2"/>
          <w:sz w:val="32"/>
          <w:szCs w:val="32"/>
          <w:highlight w:val="none"/>
          <w:u w:val="none" w:color="auto"/>
          <w:lang w:val="en-US" w:eastAsia="en-US" w:bidi="ar-SA"/>
        </w:rPr>
        <w:t>盯住“一件事”厘清全链条、各环节监管责任，坚决杜绝“只管合法、不管非法”等问题</w:t>
      </w:r>
      <w:r>
        <w:rPr>
          <w:rFonts w:hint="eastAsia" w:ascii="仿宋_GB2312" w:hAnsi="仿宋_GB2312" w:eastAsia="仿宋_GB2312" w:cs="仿宋_GB2312"/>
          <w:snapToGrid/>
          <w:color w:val="auto"/>
          <w:spacing w:val="0"/>
          <w:kern w:val="0"/>
          <w:sz w:val="32"/>
          <w:szCs w:val="32"/>
          <w:highlight w:val="none"/>
          <w:u w:val="none" w:color="auto"/>
          <w:lang w:eastAsia="zh-CN"/>
        </w:rPr>
        <w:t>；</w:t>
      </w:r>
      <w:r>
        <w:rPr>
          <w:rFonts w:hint="eastAsia" w:ascii="仿宋_GB2312" w:hAnsi="仿宋_GB2312" w:eastAsia="仿宋_GB2312" w:cs="仿宋_GB2312"/>
          <w:b w:val="0"/>
          <w:bCs w:val="0"/>
          <w:snapToGrid/>
          <w:color w:val="auto"/>
          <w:spacing w:val="0"/>
          <w:kern w:val="2"/>
          <w:sz w:val="32"/>
          <w:szCs w:val="32"/>
          <w:highlight w:val="none"/>
          <w:u w:val="none" w:color="auto"/>
          <w:lang w:val="en-US" w:eastAsia="zh-CN" w:bidi="ar-SA"/>
        </w:rPr>
        <w:t>持续</w:t>
      </w:r>
      <w:r>
        <w:rPr>
          <w:rFonts w:hint="eastAsia" w:ascii="仿宋_GB2312" w:hAnsi="仿宋_GB2312" w:eastAsia="仿宋_GB2312" w:cs="仿宋_GB2312"/>
          <w:snapToGrid/>
          <w:color w:val="auto"/>
          <w:spacing w:val="0"/>
          <w:kern w:val="0"/>
          <w:sz w:val="32"/>
          <w:szCs w:val="32"/>
          <w:highlight w:val="none"/>
          <w:u w:val="none" w:color="auto"/>
        </w:rPr>
        <w:t>厘清新业态新风险监管责任，</w:t>
      </w:r>
      <w:r>
        <w:rPr>
          <w:rFonts w:hint="eastAsia" w:ascii="仿宋_GB2312" w:hAnsi="仿宋_GB2312" w:eastAsia="仿宋_GB2312" w:cs="仿宋_GB2312"/>
          <w:snapToGrid/>
          <w:color w:val="auto"/>
          <w:spacing w:val="0"/>
          <w:kern w:val="0"/>
          <w:sz w:val="32"/>
          <w:szCs w:val="32"/>
          <w:highlight w:val="none"/>
          <w:u w:val="none" w:color="auto"/>
          <w:lang w:eastAsia="zh-CN"/>
        </w:rPr>
        <w:t>严格落实《海沧区人民政府办公厅关于印</w:t>
      </w:r>
      <w:r>
        <w:rPr>
          <w:rFonts w:hint="default" w:ascii="Times New Roman" w:hAnsi="Times New Roman" w:eastAsia="仿宋_GB2312" w:cs="Times New Roman"/>
          <w:snapToGrid/>
          <w:color w:val="auto"/>
          <w:spacing w:val="0"/>
          <w:kern w:val="0"/>
          <w:sz w:val="32"/>
          <w:szCs w:val="32"/>
          <w:highlight w:val="none"/>
          <w:u w:val="none" w:color="auto"/>
          <w:lang w:eastAsia="zh-CN"/>
        </w:rPr>
        <w:t>发新兴行业及交叉领域安全生产监督管理职责分工的通知》</w:t>
      </w:r>
      <w:r>
        <w:rPr>
          <w:rFonts w:hint="eastAsia" w:ascii="仿宋_GB2312" w:hAnsi="仿宋_GB2312" w:eastAsia="仿宋_GB2312" w:cs="仿宋_GB2312"/>
          <w:snapToGrid/>
          <w:color w:val="auto"/>
          <w:spacing w:val="0"/>
          <w:kern w:val="0"/>
          <w:sz w:val="32"/>
          <w:szCs w:val="32"/>
          <w:highlight w:val="none"/>
          <w:u w:val="none" w:color="auto"/>
          <w:lang w:eastAsia="zh-CN"/>
        </w:rPr>
        <w:t>（厦海政办</w:t>
      </w:r>
      <w:r>
        <w:rPr>
          <w:rFonts w:hint="eastAsia" w:ascii="仿宋_GB2312" w:hAnsi="仿宋_GB2312" w:eastAsia="仿宋_GB2312" w:cs="仿宋_GB2312"/>
          <w:sz w:val="32"/>
          <w:szCs w:val="32"/>
        </w:rPr>
        <w:t>〔2024〕</w:t>
      </w:r>
      <w:r>
        <w:rPr>
          <w:rFonts w:hint="eastAsia" w:ascii="仿宋_GB2312" w:hAnsi="仿宋_GB2312" w:eastAsia="仿宋_GB2312" w:cs="仿宋_GB2312"/>
          <w:snapToGrid/>
          <w:color w:val="auto"/>
          <w:spacing w:val="0"/>
          <w:kern w:val="0"/>
          <w:sz w:val="32"/>
          <w:szCs w:val="32"/>
          <w:highlight w:val="none"/>
          <w:u w:val="none" w:color="auto"/>
          <w:lang w:eastAsia="zh-CN"/>
        </w:rPr>
        <w:t>5号）</w:t>
      </w:r>
      <w:r>
        <w:rPr>
          <w:rFonts w:hint="eastAsia" w:ascii="仿宋_GB2312" w:hAnsi="仿宋_GB2312" w:eastAsia="仿宋_GB2312" w:cs="仿宋_GB2312"/>
          <w:snapToGrid/>
          <w:color w:val="auto"/>
          <w:spacing w:val="0"/>
          <w:kern w:val="0"/>
          <w:sz w:val="32"/>
          <w:szCs w:val="32"/>
          <w:highlight w:val="none"/>
          <w:u w:val="none" w:color="auto"/>
          <w:lang w:val="en-US" w:eastAsia="zh-CN"/>
        </w:rPr>
        <w:t>,</w:t>
      </w:r>
      <w:r>
        <w:rPr>
          <w:rFonts w:hint="default" w:ascii="Times New Roman" w:hAnsi="Times New Roman" w:eastAsia="仿宋_GB2312" w:cs="Times New Roman"/>
          <w:snapToGrid/>
          <w:color w:val="auto"/>
          <w:spacing w:val="0"/>
          <w:kern w:val="0"/>
          <w:sz w:val="32"/>
          <w:szCs w:val="32"/>
          <w:highlight w:val="none"/>
          <w:u w:val="none" w:color="auto"/>
          <w:lang w:eastAsia="zh-CN"/>
        </w:rPr>
        <w:t>重点解决以往安全生产工作过程中存在推诿扯皮、监管盲区的情况</w:t>
      </w:r>
      <w:r>
        <w:rPr>
          <w:rFonts w:hint="default" w:ascii="Times New Roman" w:hAnsi="Times New Roman" w:eastAsia="仿宋_GB2312" w:cs="Times New Roman"/>
          <w:snapToGrid/>
          <w:color w:val="auto"/>
          <w:spacing w:val="0"/>
          <w:kern w:val="0"/>
          <w:sz w:val="32"/>
          <w:szCs w:val="32"/>
          <w:highlight w:val="none"/>
          <w:u w:val="none" w:color="auto"/>
        </w:rPr>
        <w:t>。</w:t>
      </w:r>
      <w:r>
        <w:rPr>
          <w:rFonts w:hint="default" w:ascii="Times New Roman" w:hAnsi="Times New Roman" w:eastAsia="仿宋_GB2312" w:cs="Times New Roman"/>
          <w:snapToGrid/>
          <w:color w:val="auto"/>
          <w:spacing w:val="0"/>
          <w:kern w:val="0"/>
          <w:sz w:val="32"/>
          <w:szCs w:val="32"/>
          <w:highlight w:val="none"/>
          <w:u w:val="none" w:color="auto"/>
          <w:lang w:eastAsia="zh-CN"/>
        </w:rPr>
        <w:t>健全企业全员安全生产责任制，</w:t>
      </w:r>
      <w:r>
        <w:rPr>
          <w:rFonts w:hint="default" w:ascii="Times New Roman" w:hAnsi="Times New Roman" w:eastAsia="仿宋_GB2312" w:cs="Times New Roman"/>
          <w:color w:val="auto"/>
          <w:spacing w:val="0"/>
          <w:kern w:val="0"/>
          <w:sz w:val="32"/>
          <w:szCs w:val="32"/>
          <w:highlight w:val="none"/>
          <w:u w:val="none" w:color="auto"/>
        </w:rPr>
        <w:t>强化企业主要负责人、安全管理人员、特种作业人员和其</w:t>
      </w:r>
      <w:r>
        <w:rPr>
          <w:rFonts w:hint="default" w:ascii="Times New Roman" w:hAnsi="Times New Roman" w:eastAsia="仿宋_GB2312" w:cs="Times New Roman"/>
          <w:color w:val="auto"/>
          <w:spacing w:val="0"/>
          <w:kern w:val="0"/>
          <w:sz w:val="32"/>
          <w:szCs w:val="32"/>
          <w:highlight w:val="none"/>
          <w:u w:val="none" w:color="auto"/>
          <w:lang w:eastAsia="zh-CN"/>
        </w:rPr>
        <w:t>他</w:t>
      </w:r>
      <w:r>
        <w:rPr>
          <w:rFonts w:hint="default" w:ascii="Times New Roman" w:hAnsi="Times New Roman" w:eastAsia="仿宋_GB2312" w:cs="Times New Roman"/>
          <w:color w:val="auto"/>
          <w:spacing w:val="0"/>
          <w:kern w:val="0"/>
          <w:sz w:val="32"/>
          <w:szCs w:val="32"/>
          <w:highlight w:val="none"/>
          <w:u w:val="none" w:color="auto"/>
        </w:rPr>
        <w:t>从业人员的培训和考核</w:t>
      </w:r>
      <w:r>
        <w:rPr>
          <w:rFonts w:hint="default" w:ascii="Times New Roman" w:hAnsi="Times New Roman" w:eastAsia="仿宋_GB2312" w:cs="Times New Roman"/>
          <w:snapToGrid/>
          <w:color w:val="auto"/>
          <w:spacing w:val="0"/>
          <w:kern w:val="0"/>
          <w:sz w:val="32"/>
          <w:szCs w:val="32"/>
          <w:highlight w:val="none"/>
          <w:u w:val="none" w:color="auto"/>
        </w:rPr>
        <w:t>，</w:t>
      </w:r>
      <w:r>
        <w:rPr>
          <w:rFonts w:hint="default" w:ascii="Times New Roman" w:hAnsi="Times New Roman" w:eastAsia="仿宋_GB2312" w:cs="Times New Roman"/>
          <w:snapToGrid/>
          <w:color w:val="auto"/>
          <w:spacing w:val="0"/>
          <w:kern w:val="0"/>
          <w:sz w:val="32"/>
          <w:szCs w:val="32"/>
          <w:highlight w:val="none"/>
          <w:u w:val="none" w:color="auto"/>
          <w:lang w:eastAsia="zh-CN"/>
        </w:rPr>
        <w:t>强力推进企业落实安全生产主体</w:t>
      </w:r>
      <w:r>
        <w:rPr>
          <w:rFonts w:hint="default" w:ascii="Times New Roman" w:hAnsi="Times New Roman" w:eastAsia="仿宋_GB2312" w:cs="Times New Roman"/>
          <w:snapToGrid/>
          <w:color w:val="auto"/>
          <w:spacing w:val="0"/>
          <w:kern w:val="0"/>
          <w:sz w:val="32"/>
          <w:szCs w:val="32"/>
          <w:highlight w:val="none"/>
          <w:u w:val="none" w:color="auto"/>
        </w:rPr>
        <w:t>责任</w:t>
      </w:r>
      <w:r>
        <w:rPr>
          <w:rFonts w:hint="default" w:ascii="Times New Roman" w:hAnsi="Times New Roman" w:eastAsia="仿宋_GB2312" w:cs="Times New Roman"/>
          <w:snapToGrid/>
          <w:color w:val="auto"/>
          <w:spacing w:val="0"/>
          <w:kern w:val="0"/>
          <w:sz w:val="32"/>
          <w:szCs w:val="32"/>
          <w:highlight w:val="none"/>
          <w:u w:val="none" w:color="auto"/>
          <w:lang w:eastAsia="zh-CN"/>
        </w:rPr>
        <w:t>。</w:t>
      </w:r>
    </w:p>
    <w:p>
      <w:pPr>
        <w:keepNext w:val="0"/>
        <w:keepLines w:val="0"/>
        <w:pageBreakBefore w:val="0"/>
        <w:widowControl w:val="0"/>
        <w:kinsoku/>
        <w:wordWrap/>
        <w:overflowPunct/>
        <w:topLinePunct w:val="0"/>
        <w:bidi w:val="0"/>
        <w:adjustRightInd w:val="0"/>
        <w:snapToGrid w:val="0"/>
        <w:spacing w:beforeAutospacing="0" w:line="560" w:lineRule="exact"/>
        <w:ind w:left="0" w:leftChars="0" w:right="0" w:rightChars="0" w:firstLine="643" w:firstLineChars="200"/>
        <w:jc w:val="both"/>
        <w:textAlignment w:val="auto"/>
        <w:outlineLvl w:val="9"/>
        <w:rPr>
          <w:rFonts w:hint="eastAsia" w:ascii="Times New Roman" w:hAnsi="Times New Roman" w:eastAsia="仿宋_GB2312" w:cs="Times New Roman"/>
          <w:snapToGrid/>
          <w:color w:val="auto"/>
          <w:spacing w:val="0"/>
          <w:kern w:val="0"/>
          <w:sz w:val="32"/>
          <w:szCs w:val="32"/>
          <w:highlight w:val="none"/>
          <w:u w:val="none" w:color="auto"/>
          <w:lang w:eastAsia="zh-CN"/>
        </w:rPr>
      </w:pPr>
      <w:r>
        <w:rPr>
          <w:rFonts w:hint="eastAsia" w:ascii="楷体_GB2312" w:hAnsi="楷体_GB2312" w:eastAsia="楷体_GB2312" w:cs="楷体_GB2312"/>
          <w:b/>
          <w:bCs/>
          <w:color w:val="auto"/>
          <w:sz w:val="32"/>
          <w:szCs w:val="32"/>
          <w:highlight w:val="none"/>
          <w:lang w:eastAsia="zh-CN"/>
        </w:rPr>
        <w:t>（</w:t>
      </w:r>
      <w:r>
        <w:rPr>
          <w:rFonts w:hint="default" w:ascii="楷体_GB2312" w:hAnsi="楷体_GB2312" w:eastAsia="楷体_GB2312" w:cs="楷体_GB2312"/>
          <w:b/>
          <w:bCs/>
          <w:color w:val="auto"/>
          <w:sz w:val="32"/>
          <w:szCs w:val="32"/>
          <w:highlight w:val="none"/>
          <w:lang w:eastAsia="zh-CN"/>
        </w:rPr>
        <w:t>三</w:t>
      </w:r>
      <w:r>
        <w:rPr>
          <w:rFonts w:hint="eastAsia" w:ascii="楷体_GB2312" w:hAnsi="楷体_GB2312" w:eastAsia="楷体_GB2312" w:cs="楷体_GB2312"/>
          <w:b/>
          <w:bCs/>
          <w:color w:val="auto"/>
          <w:sz w:val="32"/>
          <w:szCs w:val="32"/>
          <w:highlight w:val="none"/>
          <w:lang w:eastAsia="zh-CN"/>
        </w:rPr>
        <w:t>）</w:t>
      </w:r>
      <w:r>
        <w:rPr>
          <w:rFonts w:hint="default" w:ascii="楷体_GB2312" w:hAnsi="楷体_GB2312" w:eastAsia="楷体_GB2312" w:cs="楷体_GB2312"/>
          <w:b/>
          <w:bCs/>
          <w:color w:val="auto"/>
          <w:sz w:val="32"/>
          <w:szCs w:val="32"/>
          <w:highlight w:val="none"/>
          <w:lang w:eastAsia="zh-CN"/>
        </w:rPr>
        <w:t>推动安全发展。</w:t>
      </w:r>
      <w:r>
        <w:rPr>
          <w:rFonts w:hint="default" w:ascii="Times New Roman" w:hAnsi="Times New Roman" w:eastAsia="仿宋_GB2312" w:cs="Times New Roman"/>
          <w:snapToGrid/>
          <w:color w:val="auto"/>
          <w:spacing w:val="0"/>
          <w:kern w:val="0"/>
          <w:sz w:val="32"/>
          <w:szCs w:val="32"/>
          <w:highlight w:val="none"/>
          <w:u w:val="none" w:color="auto"/>
        </w:rPr>
        <w:t>落实</w:t>
      </w:r>
      <w:r>
        <w:rPr>
          <w:rFonts w:hint="default" w:ascii="Times New Roman" w:hAnsi="Times New Roman" w:eastAsia="仿宋_GB2312" w:cs="Times New Roman"/>
          <w:snapToGrid/>
          <w:color w:val="auto"/>
          <w:spacing w:val="0"/>
          <w:kern w:val="0"/>
          <w:sz w:val="32"/>
          <w:szCs w:val="32"/>
          <w:highlight w:val="none"/>
          <w:u w:val="none" w:color="auto"/>
          <w:lang w:eastAsia="zh-CN"/>
        </w:rPr>
        <w:t>中共中央办公厅、国务院办公厅《关于推进城市安全发展的意见》</w:t>
      </w:r>
      <w:r>
        <w:rPr>
          <w:rFonts w:hint="default" w:ascii="Times New Roman" w:hAnsi="Times New Roman" w:eastAsia="仿宋_GB2312" w:cs="Times New Roman"/>
          <w:snapToGrid/>
          <w:color w:val="auto"/>
          <w:spacing w:val="0"/>
          <w:kern w:val="0"/>
          <w:sz w:val="32"/>
          <w:szCs w:val="32"/>
          <w:highlight w:val="none"/>
          <w:u w:val="none" w:color="auto"/>
        </w:rPr>
        <w:t>和</w:t>
      </w:r>
      <w:r>
        <w:rPr>
          <w:rFonts w:hint="default" w:ascii="Times New Roman" w:hAnsi="Times New Roman" w:eastAsia="仿宋_GB2312" w:cs="Times New Roman"/>
          <w:snapToGrid w:val="0"/>
          <w:color w:val="auto"/>
          <w:spacing w:val="0"/>
          <w:kern w:val="2"/>
          <w:sz w:val="32"/>
          <w:szCs w:val="32"/>
          <w:highlight w:val="none"/>
          <w:u w:val="none" w:color="auto"/>
          <w:lang w:val="en-US" w:eastAsia="zh-CN" w:bidi="ar-SA"/>
        </w:rPr>
        <w:t>国务院安委会《国家安全发展示范城市评价与管理办法》要求</w:t>
      </w:r>
      <w:r>
        <w:rPr>
          <w:rFonts w:hint="default" w:ascii="Times New Roman" w:hAnsi="Times New Roman" w:eastAsia="仿宋_GB2312" w:cs="Times New Roman"/>
          <w:snapToGrid/>
          <w:color w:val="auto"/>
          <w:spacing w:val="0"/>
          <w:kern w:val="0"/>
          <w:sz w:val="32"/>
          <w:szCs w:val="32"/>
          <w:highlight w:val="none"/>
          <w:u w:val="none" w:color="auto"/>
        </w:rPr>
        <w:t>，</w:t>
      </w:r>
      <w:r>
        <w:rPr>
          <w:rFonts w:hint="default" w:ascii="Times New Roman" w:hAnsi="Times New Roman" w:eastAsia="仿宋_GB2312" w:cs="Times New Roman"/>
          <w:color w:val="auto"/>
          <w:spacing w:val="0"/>
          <w:sz w:val="32"/>
          <w:szCs w:val="32"/>
          <w:highlight w:val="none"/>
          <w:lang w:eastAsia="zh-CN"/>
        </w:rPr>
        <w:t>以及省、市</w:t>
      </w:r>
      <w:r>
        <w:rPr>
          <w:rFonts w:hint="eastAsia" w:ascii="Times New Roman" w:hAnsi="Times New Roman" w:eastAsia="仿宋_GB2312" w:cs="Times New Roman"/>
          <w:color w:val="auto"/>
          <w:spacing w:val="0"/>
          <w:sz w:val="32"/>
          <w:szCs w:val="32"/>
          <w:highlight w:val="none"/>
          <w:lang w:eastAsia="zh-CN"/>
        </w:rPr>
        <w:t>、区</w:t>
      </w:r>
      <w:r>
        <w:rPr>
          <w:rFonts w:hint="default" w:ascii="Times New Roman" w:hAnsi="Times New Roman" w:eastAsia="仿宋_GB2312" w:cs="Times New Roman"/>
          <w:color w:val="auto"/>
          <w:spacing w:val="0"/>
          <w:sz w:val="32"/>
          <w:szCs w:val="32"/>
          <w:highlight w:val="none"/>
          <w:lang w:eastAsia="zh-CN"/>
        </w:rPr>
        <w:t>落实上述</w:t>
      </w:r>
      <w:r>
        <w:rPr>
          <w:rFonts w:hint="default" w:ascii="Times New Roman" w:hAnsi="Times New Roman" w:eastAsia="仿宋_GB2312" w:cs="Times New Roman"/>
          <w:color w:val="auto"/>
          <w:spacing w:val="0"/>
          <w:sz w:val="32"/>
          <w:szCs w:val="32"/>
          <w:highlight w:val="none"/>
          <w:lang w:val="en-US" w:eastAsia="zh-CN"/>
        </w:rPr>
        <w:t>文件的</w:t>
      </w:r>
      <w:r>
        <w:rPr>
          <w:rFonts w:hint="default" w:ascii="Times New Roman" w:hAnsi="Times New Roman" w:eastAsia="仿宋_GB2312" w:cs="Times New Roman"/>
          <w:color w:val="auto"/>
          <w:spacing w:val="0"/>
          <w:sz w:val="32"/>
          <w:szCs w:val="32"/>
          <w:highlight w:val="none"/>
          <w:lang w:eastAsia="zh-CN"/>
        </w:rPr>
        <w:t>实施意见，</w:t>
      </w:r>
      <w:r>
        <w:rPr>
          <w:rFonts w:hint="default" w:ascii="Times New Roman" w:hAnsi="Times New Roman" w:eastAsia="仿宋_GB2312" w:cs="Times New Roman"/>
          <w:snapToGrid w:val="0"/>
          <w:color w:val="auto"/>
          <w:spacing w:val="0"/>
          <w:kern w:val="2"/>
          <w:sz w:val="32"/>
          <w:szCs w:val="32"/>
          <w:highlight w:val="none"/>
          <w:u w:val="none" w:color="auto"/>
          <w:lang w:val="en-US" w:eastAsia="zh-CN" w:bidi="ar-SA"/>
        </w:rPr>
        <w:t>强化安全举措，提升全社会安全防范意识和避险应急能力，积极争创安全发展示范城市，加快推进城市安全治理体系现代化，努力提升城市安全保障水平</w:t>
      </w:r>
      <w:r>
        <w:rPr>
          <w:rFonts w:hint="default" w:ascii="Times New Roman" w:hAnsi="Times New Roman" w:eastAsia="仿宋_GB2312" w:cs="Times New Roman"/>
          <w:snapToGrid/>
          <w:color w:val="auto"/>
          <w:spacing w:val="0"/>
          <w:kern w:val="0"/>
          <w:sz w:val="32"/>
          <w:szCs w:val="32"/>
          <w:highlight w:val="none"/>
          <w:u w:val="none" w:color="auto"/>
          <w:lang w:eastAsia="zh-CN"/>
        </w:rPr>
        <w:t>，推动安全生产治理模式向事前预防转型</w:t>
      </w:r>
      <w:r>
        <w:rPr>
          <w:rFonts w:hint="default" w:ascii="Times New Roman" w:hAnsi="Times New Roman" w:eastAsia="仿宋_GB2312" w:cs="Times New Roman"/>
          <w:snapToGrid/>
          <w:color w:val="auto"/>
          <w:spacing w:val="0"/>
          <w:kern w:val="0"/>
          <w:sz w:val="32"/>
          <w:szCs w:val="32"/>
          <w:highlight w:val="none"/>
          <w:u w:val="none" w:color="auto"/>
        </w:rPr>
        <w:t>。</w:t>
      </w:r>
      <w:r>
        <w:rPr>
          <w:rFonts w:hint="eastAsia" w:ascii="Times New Roman" w:hAnsi="Times New Roman" w:eastAsia="仿宋_GB2312" w:cs="Times New Roman"/>
          <w:snapToGrid/>
          <w:color w:val="auto"/>
          <w:spacing w:val="0"/>
          <w:kern w:val="0"/>
          <w:sz w:val="32"/>
          <w:szCs w:val="32"/>
          <w:highlight w:val="none"/>
          <w:u w:val="none" w:color="auto"/>
          <w:lang w:eastAsia="zh-CN"/>
        </w:rPr>
        <w:t>落实国务院办公厅《电动自行车安全隐患全链条整治行动方案》和省、市、区实施方案，深入开展电动自行车安全隐患集中整治行动，建立完善长效机制，全面加强电动自行车全链条安全监管，全面提升电动自行车生产、销售、使用、停放、充电、报废回收等各环节安全水平。</w:t>
      </w:r>
    </w:p>
    <w:p>
      <w:pPr>
        <w:keepNext w:val="0"/>
        <w:keepLines w:val="0"/>
        <w:pageBreakBefore w:val="0"/>
        <w:widowControl w:val="0"/>
        <w:kinsoku/>
        <w:wordWrap/>
        <w:overflowPunct/>
        <w:topLinePunct w:val="0"/>
        <w:autoSpaceDE w:val="0"/>
        <w:autoSpaceDN w:val="0"/>
        <w:bidi w:val="0"/>
        <w:adjustRightInd w:val="0"/>
        <w:snapToGrid w:val="0"/>
        <w:spacing w:before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color w:val="auto"/>
          <w:spacing w:val="0"/>
          <w:kern w:val="0"/>
          <w:sz w:val="32"/>
          <w:szCs w:val="32"/>
          <w:highlight w:val="none"/>
          <w:u w:val="none" w:color="auto"/>
          <w:lang w:eastAsia="zh-CN"/>
        </w:rPr>
      </w:pPr>
      <w:r>
        <w:rPr>
          <w:rFonts w:hint="eastAsia" w:ascii="楷体_GB2312" w:hAnsi="楷体_GB2312" w:eastAsia="楷体_GB2312" w:cs="楷体_GB2312"/>
          <w:b/>
          <w:bCs/>
          <w:color w:val="auto"/>
          <w:sz w:val="32"/>
          <w:szCs w:val="32"/>
          <w:highlight w:val="none"/>
          <w:lang w:eastAsia="zh-CN"/>
        </w:rPr>
        <w:t>（</w:t>
      </w:r>
      <w:r>
        <w:rPr>
          <w:rFonts w:hint="default" w:ascii="楷体_GB2312" w:hAnsi="楷体_GB2312" w:eastAsia="楷体_GB2312" w:cs="楷体_GB2312"/>
          <w:b/>
          <w:bCs/>
          <w:color w:val="auto"/>
          <w:sz w:val="32"/>
          <w:szCs w:val="32"/>
          <w:highlight w:val="none"/>
          <w:lang w:eastAsia="zh-CN"/>
        </w:rPr>
        <w:t>四</w:t>
      </w:r>
      <w:r>
        <w:rPr>
          <w:rFonts w:hint="eastAsia" w:ascii="楷体_GB2312" w:hAnsi="楷体_GB2312" w:eastAsia="楷体_GB2312" w:cs="楷体_GB2312"/>
          <w:b/>
          <w:bCs/>
          <w:color w:val="auto"/>
          <w:sz w:val="32"/>
          <w:szCs w:val="32"/>
          <w:highlight w:val="none"/>
          <w:lang w:eastAsia="zh-CN"/>
        </w:rPr>
        <w:t>）推进</w:t>
      </w:r>
      <w:r>
        <w:rPr>
          <w:rFonts w:hint="default" w:ascii="楷体_GB2312" w:hAnsi="楷体_GB2312" w:eastAsia="楷体_GB2312" w:cs="楷体_GB2312"/>
          <w:b/>
          <w:bCs/>
          <w:color w:val="auto"/>
          <w:sz w:val="32"/>
          <w:szCs w:val="32"/>
          <w:highlight w:val="none"/>
          <w:lang w:eastAsia="zh-CN"/>
        </w:rPr>
        <w:t>专项整治。</w:t>
      </w:r>
      <w:r>
        <w:rPr>
          <w:rFonts w:hint="eastAsia" w:ascii="仿宋_GB2312" w:hAnsi="仿宋_GB2312" w:eastAsia="仿宋_GB2312" w:cs="仿宋_GB2312"/>
          <w:snapToGrid/>
          <w:color w:val="auto"/>
          <w:spacing w:val="0"/>
          <w:kern w:val="0"/>
          <w:sz w:val="32"/>
          <w:szCs w:val="32"/>
          <w:highlight w:val="none"/>
          <w:u w:val="none" w:color="auto"/>
          <w:lang w:eastAsia="zh-CN"/>
        </w:rPr>
        <w:t>严格落实安全生产十五条硬措施和我省</w:t>
      </w:r>
      <w:r>
        <w:rPr>
          <w:rFonts w:hint="eastAsia" w:ascii="仿宋_GB2312" w:hAnsi="仿宋_GB2312" w:eastAsia="仿宋_GB2312" w:cs="仿宋_GB2312"/>
          <w:kern w:val="2"/>
          <w:sz w:val="32"/>
          <w:szCs w:val="32"/>
          <w:lang w:val="en-US" w:eastAsia="zh-CN" w:bidi="ar-SA"/>
        </w:rPr>
        <w:t>66</w:t>
      </w:r>
      <w:r>
        <w:rPr>
          <w:rFonts w:hint="eastAsia" w:ascii="仿宋_GB2312" w:hAnsi="仿宋_GB2312" w:eastAsia="仿宋_GB2312" w:cs="仿宋_GB2312"/>
          <w:snapToGrid/>
          <w:color w:val="auto"/>
          <w:spacing w:val="0"/>
          <w:kern w:val="0"/>
          <w:sz w:val="32"/>
          <w:szCs w:val="32"/>
          <w:highlight w:val="none"/>
          <w:u w:val="none" w:color="auto"/>
          <w:lang w:val="en-US" w:eastAsia="zh-CN"/>
        </w:rPr>
        <w:t>条、</w:t>
      </w:r>
      <w:r>
        <w:rPr>
          <w:rFonts w:hint="eastAsia" w:ascii="仿宋_GB2312" w:hAnsi="仿宋_GB2312" w:eastAsia="仿宋_GB2312" w:cs="仿宋_GB2312"/>
          <w:color w:val="auto"/>
          <w:spacing w:val="0"/>
          <w:sz w:val="32"/>
          <w:szCs w:val="32"/>
          <w:highlight w:val="none"/>
          <w:lang w:val="en-US" w:eastAsia="zh-CN"/>
        </w:rPr>
        <w:t>市</w:t>
      </w:r>
      <w:r>
        <w:rPr>
          <w:rFonts w:hint="eastAsia" w:ascii="仿宋_GB2312" w:hAnsi="仿宋_GB2312" w:eastAsia="仿宋_GB2312" w:cs="仿宋_GB2312"/>
          <w:kern w:val="2"/>
          <w:sz w:val="32"/>
          <w:szCs w:val="32"/>
          <w:lang w:val="en-US" w:eastAsia="zh-CN" w:bidi="ar-SA"/>
        </w:rPr>
        <w:t>80</w:t>
      </w:r>
      <w:r>
        <w:rPr>
          <w:rFonts w:hint="eastAsia" w:ascii="仿宋_GB2312" w:hAnsi="仿宋_GB2312" w:eastAsia="仿宋_GB2312" w:cs="仿宋_GB2312"/>
          <w:color w:val="auto"/>
          <w:spacing w:val="0"/>
          <w:sz w:val="32"/>
          <w:szCs w:val="32"/>
          <w:highlight w:val="none"/>
          <w:lang w:val="en-US" w:eastAsia="zh-CN"/>
        </w:rPr>
        <w:t>条、区82条</w:t>
      </w:r>
      <w:r>
        <w:rPr>
          <w:rFonts w:hint="eastAsia" w:ascii="仿宋_GB2312" w:hAnsi="仿宋_GB2312" w:eastAsia="仿宋_GB2312" w:cs="仿宋_GB2312"/>
          <w:snapToGrid/>
          <w:color w:val="auto"/>
          <w:spacing w:val="0"/>
          <w:kern w:val="0"/>
          <w:sz w:val="32"/>
          <w:szCs w:val="32"/>
          <w:highlight w:val="none"/>
          <w:u w:val="none" w:color="auto"/>
          <w:lang w:val="en-US" w:eastAsia="zh-CN"/>
        </w:rPr>
        <w:t>具体措施，认真</w:t>
      </w:r>
      <w:r>
        <w:rPr>
          <w:rFonts w:hint="eastAsia" w:ascii="仿宋_GB2312" w:hAnsi="仿宋_GB2312" w:eastAsia="仿宋_GB2312" w:cs="仿宋_GB2312"/>
          <w:snapToGrid/>
          <w:color w:val="auto"/>
          <w:spacing w:val="0"/>
          <w:kern w:val="0"/>
          <w:sz w:val="32"/>
          <w:szCs w:val="32"/>
          <w:highlight w:val="none"/>
          <w:u w:val="none" w:color="auto"/>
          <w:lang w:eastAsia="zh-CN"/>
        </w:rPr>
        <w:t>落实区安委会《</w:t>
      </w:r>
      <w:r>
        <w:rPr>
          <w:rFonts w:hint="eastAsia" w:ascii="仿宋_GB2312" w:hAnsi="仿宋_GB2312" w:eastAsia="仿宋_GB2312" w:cs="仿宋_GB2312"/>
          <w:snapToGrid/>
          <w:color w:val="auto"/>
          <w:spacing w:val="0"/>
          <w:kern w:val="0"/>
          <w:sz w:val="32"/>
          <w:szCs w:val="32"/>
          <w:highlight w:val="none"/>
          <w:u w:val="none" w:color="auto"/>
          <w:lang w:val="en-US" w:eastAsia="zh-CN"/>
        </w:rPr>
        <w:t>关于印发</w:t>
      </w:r>
      <w:r>
        <w:rPr>
          <w:rFonts w:hint="eastAsia" w:ascii="仿宋_GB2312" w:hAnsi="仿宋_GB2312" w:eastAsia="仿宋_GB2312" w:cs="仿宋_GB2312"/>
          <w:kern w:val="2"/>
          <w:sz w:val="32"/>
          <w:szCs w:val="32"/>
          <w:lang w:val="en-US" w:eastAsia="zh-CN" w:bidi="ar-SA"/>
        </w:rPr>
        <w:t>2024</w:t>
      </w:r>
      <w:r>
        <w:rPr>
          <w:rFonts w:hint="eastAsia" w:ascii="仿宋_GB2312" w:hAnsi="仿宋_GB2312" w:eastAsia="仿宋_GB2312" w:cs="仿宋_GB2312"/>
          <w:snapToGrid/>
          <w:color w:val="auto"/>
          <w:spacing w:val="0"/>
          <w:kern w:val="0"/>
          <w:sz w:val="32"/>
          <w:szCs w:val="32"/>
          <w:highlight w:val="none"/>
          <w:u w:val="none" w:color="auto"/>
          <w:lang w:val="en-US" w:eastAsia="zh-CN"/>
        </w:rPr>
        <w:t>年工作要点的通知</w:t>
      </w:r>
      <w:r>
        <w:rPr>
          <w:rFonts w:hint="eastAsia" w:ascii="仿宋_GB2312" w:hAnsi="仿宋_GB2312" w:eastAsia="仿宋_GB2312" w:cs="仿宋_GB2312"/>
          <w:snapToGrid/>
          <w:color w:val="auto"/>
          <w:spacing w:val="0"/>
          <w:kern w:val="0"/>
          <w:sz w:val="32"/>
          <w:szCs w:val="32"/>
          <w:highlight w:val="none"/>
          <w:u w:val="none" w:color="auto"/>
          <w:lang w:eastAsia="zh-CN"/>
        </w:rPr>
        <w:t>》（</w:t>
      </w:r>
      <w:r>
        <w:rPr>
          <w:rFonts w:hint="eastAsia" w:ascii="仿宋_GB2312" w:hAnsi="仿宋_GB2312" w:eastAsia="仿宋_GB2312" w:cs="仿宋_GB2312"/>
          <w:color w:val="auto"/>
          <w:spacing w:val="0"/>
          <w:sz w:val="32"/>
          <w:szCs w:val="32"/>
          <w:highlight w:val="none"/>
          <w:lang w:val="en-US" w:eastAsia="zh-CN"/>
        </w:rPr>
        <w:t>厦海安委〔</w:t>
      </w:r>
      <w:r>
        <w:rPr>
          <w:rFonts w:hint="eastAsia" w:ascii="仿宋_GB2312" w:hAnsi="仿宋_GB2312" w:eastAsia="仿宋_GB2312" w:cs="仿宋_GB2312"/>
          <w:kern w:val="2"/>
          <w:sz w:val="32"/>
          <w:szCs w:val="32"/>
          <w:lang w:val="en-US" w:eastAsia="zh-CN" w:bidi="ar-SA"/>
        </w:rPr>
        <w:t>2024</w:t>
      </w:r>
      <w:r>
        <w:rPr>
          <w:rFonts w:hint="eastAsia"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color w:val="auto"/>
          <w:spacing w:val="0"/>
          <w:sz w:val="32"/>
          <w:szCs w:val="32"/>
          <w:highlight w:val="none"/>
          <w:lang w:val="en-US" w:eastAsia="zh-CN"/>
        </w:rPr>
        <w:t>号</w:t>
      </w:r>
      <w:r>
        <w:rPr>
          <w:rFonts w:hint="eastAsia" w:ascii="仿宋_GB2312" w:hAnsi="仿宋_GB2312" w:eastAsia="仿宋_GB2312" w:cs="仿宋_GB2312"/>
          <w:snapToGrid/>
          <w:color w:val="auto"/>
          <w:spacing w:val="0"/>
          <w:kern w:val="0"/>
          <w:sz w:val="32"/>
          <w:szCs w:val="32"/>
          <w:highlight w:val="none"/>
          <w:u w:val="none" w:color="auto"/>
          <w:lang w:eastAsia="zh-CN"/>
        </w:rPr>
        <w:t>）、《关于印发〈海沧区安全生产治本攻坚三年行动方案（</w:t>
      </w:r>
      <w:r>
        <w:rPr>
          <w:rFonts w:hint="eastAsia" w:ascii="仿宋_GB2312" w:hAnsi="仿宋_GB2312" w:eastAsia="仿宋_GB2312" w:cs="仿宋_GB2312"/>
          <w:kern w:val="2"/>
          <w:sz w:val="32"/>
          <w:szCs w:val="32"/>
          <w:lang w:val="en-US" w:eastAsia="zh-CN" w:bidi="ar-SA"/>
        </w:rPr>
        <w:t>2024-2026</w:t>
      </w:r>
      <w:r>
        <w:rPr>
          <w:rFonts w:hint="eastAsia" w:ascii="仿宋_GB2312" w:hAnsi="仿宋_GB2312" w:eastAsia="仿宋_GB2312" w:cs="仿宋_GB2312"/>
          <w:snapToGrid/>
          <w:color w:val="auto"/>
          <w:spacing w:val="0"/>
          <w:kern w:val="0"/>
          <w:sz w:val="32"/>
          <w:szCs w:val="32"/>
          <w:highlight w:val="none"/>
          <w:u w:val="none" w:color="auto"/>
          <w:lang w:eastAsia="zh-CN"/>
        </w:rPr>
        <w:t>年）〉的通知》（</w:t>
      </w:r>
      <w:r>
        <w:rPr>
          <w:rFonts w:hint="eastAsia" w:ascii="仿宋_GB2312" w:hAnsi="仿宋_GB2312" w:eastAsia="仿宋_GB2312" w:cs="仿宋_GB2312"/>
          <w:color w:val="auto"/>
          <w:spacing w:val="0"/>
          <w:sz w:val="32"/>
          <w:szCs w:val="32"/>
          <w:highlight w:val="none"/>
          <w:lang w:val="en-US" w:eastAsia="zh-CN"/>
        </w:rPr>
        <w:t>厦海安委（2024）4号</w:t>
      </w:r>
      <w:r>
        <w:rPr>
          <w:rFonts w:hint="eastAsia" w:ascii="仿宋_GB2312" w:hAnsi="仿宋_GB2312" w:eastAsia="仿宋_GB2312" w:cs="仿宋_GB2312"/>
          <w:snapToGrid/>
          <w:color w:val="auto"/>
          <w:spacing w:val="0"/>
          <w:kern w:val="0"/>
          <w:sz w:val="32"/>
          <w:szCs w:val="32"/>
          <w:highlight w:val="none"/>
          <w:u w:val="none" w:color="auto"/>
          <w:lang w:eastAsia="zh-CN"/>
        </w:rPr>
        <w:t>）等文件，紧盯年度工作要点，</w:t>
      </w:r>
      <w:r>
        <w:rPr>
          <w:rFonts w:hint="eastAsia" w:ascii="仿宋_GB2312" w:hAnsi="仿宋_GB2312" w:eastAsia="仿宋_GB2312" w:cs="仿宋_GB2312"/>
          <w:b w:val="0"/>
          <w:bCs w:val="0"/>
          <w:snapToGrid/>
          <w:color w:val="auto"/>
          <w:spacing w:val="0"/>
          <w:kern w:val="0"/>
          <w:sz w:val="32"/>
          <w:szCs w:val="32"/>
          <w:highlight w:val="none"/>
          <w:u w:val="none" w:color="auto"/>
          <w:lang w:eastAsia="zh-CN"/>
        </w:rPr>
        <w:t>扎实推进</w:t>
      </w:r>
      <w:r>
        <w:rPr>
          <w:rFonts w:hint="eastAsia" w:ascii="仿宋_GB2312" w:hAnsi="仿宋_GB2312" w:eastAsia="仿宋_GB2312" w:cs="仿宋_GB2312"/>
          <w:snapToGrid/>
          <w:color w:val="auto"/>
          <w:spacing w:val="0"/>
          <w:kern w:val="0"/>
          <w:sz w:val="32"/>
          <w:szCs w:val="32"/>
          <w:highlight w:val="none"/>
          <w:u w:val="none" w:color="auto"/>
          <w:lang w:eastAsia="zh-CN"/>
        </w:rPr>
        <w:t>安全生产治本攻坚三年行动，</w:t>
      </w:r>
      <w:r>
        <w:rPr>
          <w:rFonts w:hint="eastAsia" w:ascii="仿宋_GB2312" w:hAnsi="仿宋_GB2312" w:eastAsia="仿宋_GB2312" w:cs="仿宋_GB2312"/>
          <w:b w:val="0"/>
          <w:bCs w:val="0"/>
          <w:color w:val="auto"/>
          <w:spacing w:val="0"/>
          <w:sz w:val="32"/>
          <w:szCs w:val="32"/>
          <w:highlight w:val="none"/>
          <w:u w:val="none" w:color="auto"/>
        </w:rPr>
        <w:t>开展安全生产治本攻坚“</w:t>
      </w:r>
      <w:r>
        <w:rPr>
          <w:rFonts w:hint="eastAsia" w:ascii="仿宋_GB2312" w:hAnsi="仿宋_GB2312" w:eastAsia="仿宋_GB2312" w:cs="仿宋_GB2312"/>
          <w:b w:val="0"/>
          <w:bCs w:val="0"/>
          <w:color w:val="auto"/>
          <w:spacing w:val="0"/>
          <w:sz w:val="32"/>
          <w:szCs w:val="32"/>
          <w:highlight w:val="none"/>
          <w:u w:val="none" w:color="auto"/>
          <w:lang w:eastAsia="zh-CN"/>
        </w:rPr>
        <w:t>十</w:t>
      </w:r>
      <w:r>
        <w:rPr>
          <w:rFonts w:hint="eastAsia" w:ascii="仿宋_GB2312" w:hAnsi="仿宋_GB2312" w:eastAsia="仿宋_GB2312" w:cs="仿宋_GB2312"/>
          <w:b w:val="0"/>
          <w:bCs w:val="0"/>
          <w:color w:val="auto"/>
          <w:spacing w:val="0"/>
          <w:sz w:val="32"/>
          <w:szCs w:val="32"/>
          <w:highlight w:val="none"/>
          <w:u w:val="none" w:color="auto"/>
        </w:rPr>
        <w:t>大行动”，</w:t>
      </w:r>
      <w:r>
        <w:rPr>
          <w:rFonts w:hint="eastAsia" w:ascii="仿宋_GB2312" w:hAnsi="仿宋_GB2312" w:eastAsia="仿宋_GB2312" w:cs="仿宋_GB2312"/>
          <w:b w:val="0"/>
          <w:bCs w:val="0"/>
          <w:color w:val="auto"/>
          <w:spacing w:val="0"/>
          <w:sz w:val="32"/>
          <w:szCs w:val="32"/>
          <w:highlight w:val="none"/>
          <w:u w:val="none" w:color="auto"/>
          <w:lang w:eastAsia="zh-CN"/>
        </w:rPr>
        <w:t>开展重大事故隐患清零百日攻坚专项行动、</w:t>
      </w:r>
      <w:r>
        <w:rPr>
          <w:rFonts w:hint="eastAsia" w:ascii="仿宋_GB2312" w:hAnsi="仿宋_GB2312" w:eastAsia="仿宋_GB2312" w:cs="仿宋_GB2312"/>
          <w:snapToGrid/>
          <w:color w:val="auto"/>
          <w:spacing w:val="0"/>
          <w:kern w:val="0"/>
          <w:sz w:val="32"/>
          <w:szCs w:val="32"/>
          <w:highlight w:val="none"/>
          <w:u w:val="none" w:color="auto"/>
          <w:lang w:eastAsia="zh-CN"/>
        </w:rPr>
        <w:t>道安治理固本培元“六大提升行动”等重点行业领域专项整治，</w:t>
      </w:r>
      <w:r>
        <w:rPr>
          <w:rFonts w:hint="eastAsia" w:ascii="仿宋_GB2312" w:hAnsi="仿宋_GB2312" w:eastAsia="仿宋_GB2312" w:cs="仿宋_GB2312"/>
          <w:b w:val="0"/>
          <w:bCs w:val="0"/>
          <w:color w:val="auto"/>
          <w:spacing w:val="0"/>
          <w:sz w:val="32"/>
          <w:szCs w:val="32"/>
          <w:highlight w:val="none"/>
          <w:u w:val="none" w:color="auto"/>
        </w:rPr>
        <w:t>着力</w:t>
      </w:r>
      <w:r>
        <w:rPr>
          <w:rFonts w:hint="eastAsia" w:ascii="仿宋_GB2312" w:hAnsi="仿宋_GB2312" w:eastAsia="仿宋_GB2312" w:cs="仿宋_GB2312"/>
          <w:b w:val="0"/>
          <w:bCs w:val="0"/>
          <w:color w:val="auto"/>
          <w:spacing w:val="0"/>
          <w:sz w:val="32"/>
          <w:szCs w:val="32"/>
          <w:highlight w:val="none"/>
          <w:u w:val="none" w:color="auto"/>
          <w:lang w:eastAsia="zh-CN"/>
        </w:rPr>
        <w:t>消减重大风险，着力</w:t>
      </w:r>
      <w:r>
        <w:rPr>
          <w:rFonts w:hint="eastAsia" w:ascii="仿宋_GB2312" w:hAnsi="仿宋_GB2312" w:eastAsia="仿宋_GB2312" w:cs="仿宋_GB2312"/>
          <w:b w:val="0"/>
          <w:bCs w:val="0"/>
          <w:color w:val="auto"/>
          <w:spacing w:val="0"/>
          <w:sz w:val="32"/>
          <w:szCs w:val="32"/>
          <w:highlight w:val="none"/>
          <w:u w:val="none" w:color="auto"/>
        </w:rPr>
        <w:t>消除由于重大风险管控措施缺失或执行不到位而形成的重大事故隐患</w:t>
      </w:r>
      <w:r>
        <w:rPr>
          <w:rFonts w:hint="eastAsia" w:ascii="仿宋_GB2312" w:hAnsi="仿宋_GB2312" w:eastAsia="仿宋_GB2312" w:cs="仿宋_GB2312"/>
          <w:b w:val="0"/>
          <w:bCs w:val="0"/>
          <w:color w:val="auto"/>
          <w:spacing w:val="0"/>
          <w:sz w:val="32"/>
          <w:szCs w:val="32"/>
          <w:highlight w:val="none"/>
          <w:u w:val="none" w:color="auto"/>
          <w:lang w:eastAsia="zh-CN"/>
        </w:rPr>
        <w:t>，</w:t>
      </w:r>
      <w:r>
        <w:rPr>
          <w:rFonts w:hint="eastAsia" w:ascii="仿宋_GB2312" w:hAnsi="仿宋_GB2312" w:eastAsia="仿宋_GB2312" w:cs="仿宋_GB2312"/>
          <w:b w:val="0"/>
          <w:bCs w:val="0"/>
          <w:color w:val="auto"/>
          <w:spacing w:val="0"/>
          <w:sz w:val="32"/>
          <w:szCs w:val="32"/>
          <w:highlight w:val="none"/>
          <w:u w:val="none" w:color="auto"/>
          <w:lang w:val="en-US" w:eastAsia="zh-CN"/>
        </w:rPr>
        <w:t>着力整治群众身边突出安</w:t>
      </w:r>
      <w:r>
        <w:rPr>
          <w:rFonts w:hint="default" w:ascii="Times New Roman" w:hAnsi="Times New Roman" w:eastAsia="仿宋_GB2312" w:cs="Times New Roman"/>
          <w:b w:val="0"/>
          <w:bCs w:val="0"/>
          <w:color w:val="auto"/>
          <w:spacing w:val="0"/>
          <w:sz w:val="32"/>
          <w:szCs w:val="32"/>
          <w:highlight w:val="none"/>
          <w:u w:val="none" w:color="auto"/>
          <w:lang w:val="en-US" w:eastAsia="zh-CN"/>
        </w:rPr>
        <w:t>全隐患，</w:t>
      </w:r>
      <w:r>
        <w:rPr>
          <w:rFonts w:hint="default" w:ascii="Times New Roman" w:hAnsi="Times New Roman" w:eastAsia="仿宋_GB2312" w:cs="Times New Roman"/>
          <w:b w:val="0"/>
          <w:bCs w:val="0"/>
          <w:color w:val="auto"/>
          <w:spacing w:val="0"/>
          <w:sz w:val="32"/>
          <w:szCs w:val="32"/>
          <w:highlight w:val="none"/>
          <w:u w:val="none" w:color="auto"/>
        </w:rPr>
        <w:t>基本消</w:t>
      </w:r>
      <w:r>
        <w:rPr>
          <w:rFonts w:hint="default" w:ascii="仿宋_GB2312" w:hAnsi="仿宋_GB2312" w:eastAsia="仿宋_GB2312" w:cs="仿宋_GB2312"/>
          <w:kern w:val="2"/>
          <w:sz w:val="32"/>
          <w:szCs w:val="32"/>
          <w:lang w:val="en-US" w:eastAsia="zh-CN" w:bidi="ar-SA"/>
        </w:rPr>
        <w:t>除2023年及以前排查发现的重大事故隐患存量。</w:t>
      </w:r>
    </w:p>
    <w:p>
      <w:pPr>
        <w:keepNext w:val="0"/>
        <w:keepLines w:val="0"/>
        <w:pageBreakBefore w:val="0"/>
        <w:widowControl w:val="0"/>
        <w:kinsoku/>
        <w:wordWrap/>
        <w:overflowPunct/>
        <w:topLinePunct w:val="0"/>
        <w:bidi w:val="0"/>
        <w:adjustRightInd w:val="0"/>
        <w:snapToGrid w:val="0"/>
        <w:spacing w:beforeAutospacing="0" w:line="560" w:lineRule="exact"/>
        <w:ind w:left="0" w:leftChars="0" w:right="0" w:rightChars="0" w:firstLine="643"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auto"/>
          <w:sz w:val="32"/>
          <w:szCs w:val="32"/>
          <w:highlight w:val="none"/>
          <w:lang w:val="en-US" w:eastAsia="zh-CN"/>
        </w:rPr>
        <w:t>（</w:t>
      </w:r>
      <w:r>
        <w:rPr>
          <w:rFonts w:hint="default" w:ascii="楷体_GB2312" w:hAnsi="楷体_GB2312" w:eastAsia="楷体_GB2312" w:cs="楷体_GB2312"/>
          <w:b/>
          <w:bCs/>
          <w:color w:val="auto"/>
          <w:sz w:val="32"/>
          <w:szCs w:val="32"/>
          <w:highlight w:val="none"/>
          <w:lang w:val="en-US" w:eastAsia="zh-CN"/>
        </w:rPr>
        <w:t>五</w:t>
      </w:r>
      <w:r>
        <w:rPr>
          <w:rFonts w:hint="eastAsia" w:ascii="楷体_GB2312" w:hAnsi="楷体_GB2312" w:eastAsia="楷体_GB2312" w:cs="楷体_GB2312"/>
          <w:b/>
          <w:bCs/>
          <w:color w:val="auto"/>
          <w:sz w:val="32"/>
          <w:szCs w:val="32"/>
          <w:highlight w:val="none"/>
          <w:lang w:val="en-US" w:eastAsia="zh-CN"/>
        </w:rPr>
        <w:t>）</w:t>
      </w:r>
      <w:r>
        <w:rPr>
          <w:rFonts w:hint="default" w:ascii="楷体_GB2312" w:hAnsi="楷体_GB2312" w:eastAsia="楷体_GB2312" w:cs="楷体_GB2312"/>
          <w:b/>
          <w:bCs/>
          <w:color w:val="auto"/>
          <w:sz w:val="32"/>
          <w:szCs w:val="32"/>
          <w:highlight w:val="none"/>
          <w:lang w:val="en-US" w:eastAsia="zh-CN"/>
        </w:rPr>
        <w:t>严格监管执法。</w:t>
      </w:r>
      <w:r>
        <w:rPr>
          <w:rFonts w:hint="default" w:ascii="仿宋_GB2312" w:hAnsi="仿宋_GB2312" w:eastAsia="仿宋_GB2312" w:cs="仿宋_GB2312"/>
          <w:kern w:val="2"/>
          <w:sz w:val="32"/>
          <w:szCs w:val="32"/>
          <w:lang w:val="en-US" w:eastAsia="zh-CN" w:bidi="ar-SA"/>
        </w:rPr>
        <w:t>严格制订安全生产年度监督检查计划</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综合运用“四不两直”、明查暗访等方式，推进执法全过程“上线入网”，严查违法违规生产经营活动。完善“双随机、一公开”监管等工作机制，积极推行信用分级分类监管和联合执法制度。加大“互联网+执法”推广应用力度，持续提高执法效能。统筹加强安全监管力量，</w:t>
      </w:r>
      <w:r>
        <w:rPr>
          <w:rFonts w:hint="eastAsia" w:ascii="仿宋_GB2312" w:hAnsi="仿宋_GB2312" w:eastAsia="仿宋_GB2312" w:cs="仿宋_GB2312"/>
          <w:kern w:val="2"/>
          <w:sz w:val="32"/>
          <w:szCs w:val="32"/>
          <w:lang w:val="en-US" w:eastAsia="zh-CN" w:bidi="ar-SA"/>
        </w:rPr>
        <w:t>依托“街道本级+区</w:t>
      </w:r>
      <w:r>
        <w:rPr>
          <w:rFonts w:hint="default" w:ascii="仿宋_GB2312" w:hAnsi="仿宋_GB2312" w:eastAsia="仿宋_GB2312" w:cs="仿宋_GB2312"/>
          <w:kern w:val="2"/>
          <w:sz w:val="32"/>
          <w:szCs w:val="32"/>
          <w:lang w:val="en-US" w:eastAsia="zh-CN" w:bidi="ar-SA"/>
        </w:rPr>
        <w:t>级</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安全生产监管执法</w:t>
      </w:r>
      <w:r>
        <w:rPr>
          <w:rFonts w:hint="eastAsia" w:ascii="仿宋_GB2312" w:hAnsi="仿宋_GB2312" w:eastAsia="仿宋_GB2312" w:cs="仿宋_GB2312"/>
          <w:kern w:val="2"/>
          <w:sz w:val="32"/>
          <w:szCs w:val="32"/>
          <w:lang w:val="en-US" w:eastAsia="zh-CN" w:bidi="ar-SA"/>
        </w:rPr>
        <w:t>力量</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不断</w:t>
      </w:r>
      <w:r>
        <w:rPr>
          <w:rFonts w:hint="default" w:ascii="仿宋_GB2312" w:hAnsi="仿宋_GB2312" w:eastAsia="仿宋_GB2312" w:cs="仿宋_GB2312"/>
          <w:kern w:val="2"/>
          <w:sz w:val="32"/>
          <w:szCs w:val="32"/>
          <w:lang w:val="en-US" w:eastAsia="zh-CN" w:bidi="ar-SA"/>
        </w:rPr>
        <w:t>强化安全生产监管力量建设。</w:t>
      </w:r>
    </w:p>
    <w:p>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3" w:firstLineChars="200"/>
        <w:jc w:val="both"/>
        <w:textAlignment w:val="auto"/>
        <w:outlineLvl w:val="9"/>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auto"/>
          <w:sz w:val="32"/>
          <w:szCs w:val="32"/>
          <w:highlight w:val="none"/>
          <w:lang w:val="en-US" w:eastAsia="zh-CN"/>
        </w:rPr>
        <w:t>（</w:t>
      </w:r>
      <w:r>
        <w:rPr>
          <w:rFonts w:hint="default" w:ascii="楷体_GB2312" w:hAnsi="楷体_GB2312" w:eastAsia="楷体_GB2312" w:cs="楷体_GB2312"/>
          <w:b/>
          <w:bCs/>
          <w:color w:val="auto"/>
          <w:sz w:val="32"/>
          <w:szCs w:val="32"/>
          <w:highlight w:val="none"/>
          <w:lang w:val="en-US" w:eastAsia="zh-CN"/>
        </w:rPr>
        <w:t>六</w:t>
      </w:r>
      <w:r>
        <w:rPr>
          <w:rFonts w:hint="eastAsia" w:ascii="楷体_GB2312" w:hAnsi="楷体_GB2312" w:eastAsia="楷体_GB2312" w:cs="楷体_GB2312"/>
          <w:b/>
          <w:bCs/>
          <w:color w:val="auto"/>
          <w:sz w:val="32"/>
          <w:szCs w:val="32"/>
          <w:highlight w:val="none"/>
          <w:lang w:val="en-US" w:eastAsia="zh-CN"/>
        </w:rPr>
        <w:t>）</w:t>
      </w:r>
      <w:r>
        <w:rPr>
          <w:rFonts w:hint="default" w:ascii="楷体_GB2312" w:hAnsi="楷体_GB2312" w:eastAsia="楷体_GB2312" w:cs="楷体_GB2312"/>
          <w:b/>
          <w:bCs/>
          <w:color w:val="auto"/>
          <w:sz w:val="32"/>
          <w:szCs w:val="32"/>
          <w:highlight w:val="none"/>
          <w:lang w:val="en-US" w:eastAsia="zh-CN"/>
        </w:rPr>
        <w:t>加强教育培训。</w:t>
      </w:r>
      <w:r>
        <w:rPr>
          <w:rFonts w:hint="default" w:ascii="仿宋_GB2312" w:hAnsi="仿宋_GB2312" w:eastAsia="仿宋_GB2312" w:cs="仿宋_GB2312"/>
          <w:kern w:val="2"/>
          <w:sz w:val="32"/>
          <w:szCs w:val="32"/>
          <w:lang w:val="en-US" w:eastAsia="zh-CN" w:bidi="ar-SA"/>
        </w:rPr>
        <w:t>围绕安全生产月、防灾减灾日等重要时间节点和重要节假日，以“五个一百”公共安全保障提升工程和安全宣传“五进”为载体，加强《中华人民共和国安全生产法》</w:t>
      </w:r>
      <w:r>
        <w:rPr>
          <w:rFonts w:hint="eastAsia" w:ascii="仿宋_GB2312" w:hAnsi="仿宋_GB2312" w:eastAsia="仿宋_GB2312" w:cs="仿宋_GB2312"/>
          <w:kern w:val="2"/>
          <w:sz w:val="32"/>
          <w:szCs w:val="32"/>
          <w:lang w:val="en-US" w:eastAsia="zh-CN" w:bidi="ar-SA"/>
        </w:rPr>
        <w:t>、《福建省安全生产条例》</w:t>
      </w:r>
      <w:r>
        <w:rPr>
          <w:rFonts w:hint="default" w:ascii="仿宋_GB2312" w:hAnsi="仿宋_GB2312" w:eastAsia="仿宋_GB2312" w:cs="仿宋_GB2312"/>
          <w:kern w:val="2"/>
          <w:sz w:val="32"/>
          <w:szCs w:val="32"/>
          <w:lang w:val="en-US" w:eastAsia="zh-CN" w:bidi="ar-SA"/>
        </w:rPr>
        <w:t>等安全生产和应急管理法律法规的宣传贯彻，</w:t>
      </w:r>
      <w:r>
        <w:rPr>
          <w:rFonts w:hint="eastAsia" w:ascii="仿宋_GB2312" w:hAnsi="仿宋_GB2312" w:eastAsia="仿宋_GB2312" w:cs="仿宋_GB2312"/>
          <w:kern w:val="2"/>
          <w:sz w:val="32"/>
          <w:szCs w:val="32"/>
          <w:lang w:val="en-US" w:eastAsia="zh-CN" w:bidi="ar-SA"/>
        </w:rPr>
        <w:t>用好安全文化体验馆，</w:t>
      </w:r>
      <w:r>
        <w:rPr>
          <w:rFonts w:hint="default" w:ascii="仿宋_GB2312" w:hAnsi="仿宋_GB2312" w:eastAsia="仿宋_GB2312" w:cs="仿宋_GB2312"/>
          <w:kern w:val="2"/>
          <w:sz w:val="32"/>
          <w:szCs w:val="32"/>
          <w:lang w:val="en-US" w:eastAsia="zh-CN" w:bidi="ar-SA"/>
        </w:rPr>
        <w:t>持续推进安全宣传和应急科普，增强全民安全生产意识，提升公众安全素质；大力宣扬安全生产工作先进典型和好的经验做法，采取以案说法等方式开展警示教育；督促</w:t>
      </w:r>
      <w:r>
        <w:rPr>
          <w:rFonts w:hint="eastAsia" w:ascii="仿宋_GB2312" w:hAnsi="仿宋_GB2312" w:eastAsia="仿宋_GB2312" w:cs="仿宋_GB2312"/>
          <w:kern w:val="2"/>
          <w:sz w:val="32"/>
          <w:szCs w:val="32"/>
          <w:lang w:val="en-US" w:eastAsia="zh-CN" w:bidi="ar-SA"/>
        </w:rPr>
        <w:t>相关业务口</w:t>
      </w:r>
      <w:r>
        <w:rPr>
          <w:rFonts w:hint="default" w:ascii="仿宋_GB2312" w:hAnsi="仿宋_GB2312" w:eastAsia="仿宋_GB2312" w:cs="仿宋_GB2312"/>
          <w:kern w:val="2"/>
          <w:sz w:val="32"/>
          <w:szCs w:val="32"/>
          <w:lang w:val="en-US" w:eastAsia="zh-CN" w:bidi="ar-SA"/>
        </w:rPr>
        <w:t>抓好企业主要负责人、安全管理人员、特种作业人员和其他从业人员的培训和考核，切实提升从业人员安全技能。</w:t>
      </w:r>
    </w:p>
    <w:p>
      <w:pPr>
        <w:keepNext w:val="0"/>
        <w:keepLines w:val="0"/>
        <w:pageBreakBefore w:val="0"/>
        <w:widowControl w:val="0"/>
        <w:kinsoku/>
        <w:wordWrap/>
        <w:overflowPunct/>
        <w:topLinePunct w:val="0"/>
        <w:bidi w:val="0"/>
        <w:adjustRightInd w:val="0"/>
        <w:snapToGrid w:val="0"/>
        <w:spacing w:before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napToGrid/>
          <w:color w:val="auto"/>
          <w:spacing w:val="0"/>
          <w:kern w:val="0"/>
          <w:sz w:val="32"/>
          <w:szCs w:val="32"/>
          <w:highlight w:val="none"/>
          <w:u w:val="none" w:color="auto"/>
          <w:lang w:eastAsia="zh-CN"/>
        </w:rPr>
      </w:pPr>
      <w:r>
        <w:rPr>
          <w:rFonts w:hint="eastAsia" w:ascii="楷体_GB2312" w:hAnsi="楷体_GB2312" w:eastAsia="楷体_GB2312" w:cs="楷体_GB2312"/>
          <w:b/>
          <w:bCs/>
          <w:color w:val="auto"/>
          <w:sz w:val="32"/>
          <w:szCs w:val="32"/>
          <w:highlight w:val="none"/>
          <w:lang w:val="en-US" w:eastAsia="zh-CN"/>
        </w:rPr>
        <w:t>（</w:t>
      </w:r>
      <w:r>
        <w:rPr>
          <w:rFonts w:hint="default" w:ascii="楷体_GB2312" w:hAnsi="楷体_GB2312" w:eastAsia="楷体_GB2312" w:cs="楷体_GB2312"/>
          <w:b/>
          <w:bCs/>
          <w:color w:val="auto"/>
          <w:sz w:val="32"/>
          <w:szCs w:val="32"/>
          <w:highlight w:val="none"/>
          <w:lang w:val="en-US" w:eastAsia="zh-CN"/>
        </w:rPr>
        <w:t>七</w:t>
      </w:r>
      <w:r>
        <w:rPr>
          <w:rFonts w:hint="eastAsia" w:ascii="楷体_GB2312" w:hAnsi="楷体_GB2312" w:eastAsia="楷体_GB2312" w:cs="楷体_GB2312"/>
          <w:b/>
          <w:bCs/>
          <w:color w:val="auto"/>
          <w:sz w:val="32"/>
          <w:szCs w:val="32"/>
          <w:highlight w:val="none"/>
          <w:lang w:val="en-US" w:eastAsia="zh-CN"/>
        </w:rPr>
        <w:t>）</w:t>
      </w:r>
      <w:r>
        <w:rPr>
          <w:rFonts w:hint="default" w:ascii="楷体_GB2312" w:hAnsi="楷体_GB2312" w:eastAsia="楷体_GB2312" w:cs="楷体_GB2312"/>
          <w:b/>
          <w:bCs/>
          <w:color w:val="auto"/>
          <w:sz w:val="32"/>
          <w:szCs w:val="32"/>
          <w:highlight w:val="none"/>
          <w:lang w:val="en-US" w:eastAsia="zh-CN"/>
        </w:rPr>
        <w:t>提升应急能力。</w:t>
      </w:r>
      <w:r>
        <w:rPr>
          <w:rFonts w:hint="default" w:ascii="Times New Roman" w:hAnsi="Times New Roman" w:eastAsia="仿宋_GB2312" w:cs="Times New Roman"/>
          <w:color w:val="auto"/>
          <w:spacing w:val="0"/>
          <w:sz w:val="32"/>
          <w:szCs w:val="32"/>
          <w:highlight w:val="none"/>
          <w:lang w:eastAsia="zh-CN"/>
        </w:rPr>
        <w:t>扎实做好应急处置和救援准备，</w:t>
      </w:r>
      <w:r>
        <w:rPr>
          <w:rFonts w:hint="default" w:ascii="Times New Roman" w:hAnsi="Times New Roman" w:eastAsia="仿宋_GB2312" w:cs="Times New Roman"/>
          <w:snapToGrid/>
          <w:color w:val="auto"/>
          <w:spacing w:val="0"/>
          <w:kern w:val="0"/>
          <w:sz w:val="32"/>
          <w:szCs w:val="32"/>
          <w:highlight w:val="none"/>
          <w:u w:val="none" w:color="auto"/>
          <w:lang w:eastAsia="zh-CN"/>
        </w:rPr>
        <w:t>推进重点行业重点区域应急救援队伍建设；</w:t>
      </w:r>
      <w:r>
        <w:rPr>
          <w:rFonts w:hint="default" w:ascii="Times New Roman" w:hAnsi="Times New Roman" w:eastAsia="仿宋_GB2312" w:cs="Times New Roman"/>
          <w:snapToGrid/>
          <w:color w:val="auto"/>
          <w:spacing w:val="0"/>
          <w:kern w:val="0"/>
          <w:sz w:val="32"/>
          <w:szCs w:val="32"/>
          <w:highlight w:val="none"/>
          <w:u w:val="none" w:color="auto"/>
        </w:rPr>
        <w:t>进一步</w:t>
      </w:r>
      <w:r>
        <w:rPr>
          <w:rFonts w:hint="eastAsia" w:ascii="Times New Roman" w:hAnsi="Times New Roman" w:eastAsia="仿宋_GB2312" w:cs="Times New Roman"/>
          <w:snapToGrid/>
          <w:color w:val="auto"/>
          <w:spacing w:val="0"/>
          <w:kern w:val="0"/>
          <w:sz w:val="32"/>
          <w:szCs w:val="32"/>
          <w:highlight w:val="none"/>
          <w:u w:val="none" w:color="auto"/>
          <w:lang w:eastAsia="zh-CN"/>
        </w:rPr>
        <w:t>修订</w:t>
      </w:r>
      <w:r>
        <w:rPr>
          <w:rFonts w:hint="default" w:ascii="Times New Roman" w:hAnsi="Times New Roman" w:eastAsia="仿宋_GB2312" w:cs="Times New Roman"/>
          <w:snapToGrid/>
          <w:color w:val="auto"/>
          <w:spacing w:val="0"/>
          <w:kern w:val="0"/>
          <w:sz w:val="32"/>
          <w:szCs w:val="32"/>
          <w:highlight w:val="none"/>
          <w:u w:val="none" w:color="auto"/>
        </w:rPr>
        <w:t>完善应急预案管理，</w:t>
      </w:r>
      <w:r>
        <w:rPr>
          <w:rFonts w:hint="default" w:ascii="Times New Roman" w:hAnsi="Times New Roman" w:eastAsia="仿宋_GB2312" w:cs="Times New Roman"/>
          <w:color w:val="auto"/>
          <w:sz w:val="32"/>
          <w:szCs w:val="32"/>
          <w:highlight w:val="none"/>
          <w:lang w:eastAsia="zh-CN"/>
        </w:rPr>
        <w:t>组织开展相关人员广泛参与的实战化应急演练</w:t>
      </w:r>
      <w:r>
        <w:rPr>
          <w:rFonts w:hint="default" w:ascii="Times New Roman" w:hAnsi="Times New Roman" w:eastAsia="仿宋_GB2312" w:cs="Times New Roman"/>
          <w:snapToGrid/>
          <w:color w:val="auto"/>
          <w:spacing w:val="0"/>
          <w:kern w:val="0"/>
          <w:sz w:val="32"/>
          <w:szCs w:val="32"/>
          <w:highlight w:val="none"/>
          <w:u w:val="none" w:color="auto"/>
        </w:rPr>
        <w:t>，不断提升应急救援能力和水平。</w:t>
      </w:r>
      <w:r>
        <w:rPr>
          <w:rFonts w:hint="eastAsia" w:ascii="Times New Roman" w:hAnsi="Times New Roman" w:eastAsia="仿宋_GB2312" w:cs="Times New Roman"/>
          <w:snapToGrid/>
          <w:color w:val="auto"/>
          <w:spacing w:val="0"/>
          <w:kern w:val="0"/>
          <w:sz w:val="32"/>
          <w:szCs w:val="32"/>
          <w:highlight w:val="none"/>
          <w:u w:val="none" w:color="auto"/>
          <w:lang w:eastAsia="zh-CN"/>
        </w:rPr>
        <w:t>管理好村（居）应急综治队和平安巡防队，不断夯实基层应急管理基础，提升村（居）应急管理水平。</w:t>
      </w:r>
    </w:p>
    <w:p>
      <w:pPr>
        <w:keepNext w:val="0"/>
        <w:keepLines w:val="0"/>
        <w:pageBreakBefore w:val="0"/>
        <w:widowControl w:val="0"/>
        <w:kinsoku/>
        <w:wordWrap/>
        <w:overflowPunct/>
        <w:topLinePunct w:val="0"/>
        <w:autoSpaceDE w:val="0"/>
        <w:autoSpaceDN w:val="0"/>
        <w:bidi w:val="0"/>
        <w:adjustRightInd w:val="0"/>
        <w:snapToGrid/>
        <w:spacing w:beforeAutospacing="0"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highlight w:val="none"/>
          <w:lang w:val="en-US" w:eastAsia="zh-CN"/>
        </w:rPr>
        <w:t>（</w:t>
      </w:r>
      <w:r>
        <w:rPr>
          <w:rFonts w:hint="default" w:ascii="楷体_GB2312" w:hAnsi="楷体_GB2312" w:eastAsia="楷体_GB2312" w:cs="楷体_GB2312"/>
          <w:b/>
          <w:bCs/>
          <w:color w:val="auto"/>
          <w:sz w:val="32"/>
          <w:szCs w:val="32"/>
          <w:highlight w:val="none"/>
          <w:lang w:val="en-US" w:eastAsia="zh-CN"/>
        </w:rPr>
        <w:t>八</w:t>
      </w:r>
      <w:r>
        <w:rPr>
          <w:rFonts w:hint="eastAsia" w:ascii="楷体_GB2312" w:hAnsi="楷体_GB2312" w:eastAsia="楷体_GB2312" w:cs="楷体_GB2312"/>
          <w:b/>
          <w:bCs/>
          <w:color w:val="auto"/>
          <w:sz w:val="32"/>
          <w:szCs w:val="32"/>
          <w:highlight w:val="none"/>
          <w:lang w:val="en-US" w:eastAsia="zh-CN"/>
        </w:rPr>
        <w:t>）</w:t>
      </w:r>
      <w:r>
        <w:rPr>
          <w:rFonts w:hint="default" w:ascii="楷体_GB2312" w:hAnsi="楷体_GB2312" w:eastAsia="楷体_GB2312" w:cs="楷体_GB2312"/>
          <w:b/>
          <w:bCs/>
          <w:color w:val="auto"/>
          <w:sz w:val="32"/>
          <w:szCs w:val="32"/>
          <w:highlight w:val="none"/>
          <w:lang w:val="en-US" w:eastAsia="zh-CN"/>
        </w:rPr>
        <w:t>狠抓事故防范。</w:t>
      </w:r>
      <w:r>
        <w:rPr>
          <w:rFonts w:hint="default" w:ascii="仿宋_GB2312" w:hAnsi="仿宋_GB2312" w:eastAsia="仿宋_GB2312" w:cs="仿宋_GB2312"/>
          <w:color w:val="auto"/>
          <w:spacing w:val="0"/>
          <w:sz w:val="32"/>
          <w:szCs w:val="32"/>
          <w:highlight w:val="none"/>
          <w:lang w:val="en-US" w:eastAsia="zh-CN"/>
        </w:rPr>
        <w:t>生产安全事故起数、死亡人数保持“双下降”，遏制较大事故发生（采取递增的方式加大较大事故扣分比重），确保不发生重特大事故；落实《厦门市安全生产警示通报和约谈制度》《厦门市安全生产事故隐患挂牌督办办法》《厦门市一般生产安全事故查处挂牌督办办法》（厦安字〔2019〕8号）及《厦门市</w:t>
      </w:r>
      <w:r>
        <w:rPr>
          <w:rFonts w:hint="eastAsia" w:ascii="仿宋_GB2312" w:hAnsi="仿宋_GB2312" w:eastAsia="仿宋_GB2312" w:cs="仿宋_GB2312"/>
          <w:color w:val="auto"/>
          <w:spacing w:val="0"/>
          <w:sz w:val="32"/>
          <w:szCs w:val="32"/>
          <w:highlight w:val="none"/>
          <w:lang w:val="en-US" w:eastAsia="zh-CN"/>
        </w:rPr>
        <w:t>海沧区安全生产委员会关于印发海沧区</w:t>
      </w:r>
      <w:r>
        <w:rPr>
          <w:rFonts w:hint="default" w:ascii="仿宋_GB2312" w:hAnsi="仿宋_GB2312" w:eastAsia="仿宋_GB2312" w:cs="仿宋_GB2312"/>
          <w:color w:val="auto"/>
          <w:spacing w:val="0"/>
          <w:sz w:val="32"/>
          <w:szCs w:val="32"/>
          <w:highlight w:val="none"/>
          <w:lang w:val="en-US" w:eastAsia="zh-CN"/>
        </w:rPr>
        <w:t>一般生产安全事故调查报告审查备案办法</w:t>
      </w:r>
      <w:r>
        <w:rPr>
          <w:rFonts w:hint="eastAsia" w:ascii="仿宋_GB2312" w:hAnsi="仿宋_GB2312" w:eastAsia="仿宋_GB2312" w:cs="仿宋_GB2312"/>
          <w:color w:val="auto"/>
          <w:spacing w:val="0"/>
          <w:sz w:val="32"/>
          <w:szCs w:val="32"/>
          <w:highlight w:val="none"/>
          <w:lang w:val="en-US" w:eastAsia="zh-CN"/>
        </w:rPr>
        <w:t>的通知</w:t>
      </w:r>
      <w:r>
        <w:rPr>
          <w:rFonts w:hint="default" w:ascii="仿宋_GB2312" w:hAnsi="仿宋_GB2312" w:eastAsia="仿宋_GB2312" w:cs="仿宋_GB2312"/>
          <w:color w:val="auto"/>
          <w:spacing w:val="0"/>
          <w:sz w:val="32"/>
          <w:szCs w:val="32"/>
          <w:highlight w:val="none"/>
          <w:lang w:val="en-US" w:eastAsia="zh-CN"/>
        </w:rPr>
        <w:t>》（厦</w:t>
      </w:r>
      <w:r>
        <w:rPr>
          <w:rFonts w:hint="eastAsia" w:ascii="仿宋_GB2312" w:hAnsi="仿宋_GB2312" w:eastAsia="仿宋_GB2312" w:cs="仿宋_GB2312"/>
          <w:color w:val="auto"/>
          <w:spacing w:val="0"/>
          <w:sz w:val="32"/>
          <w:szCs w:val="32"/>
          <w:highlight w:val="none"/>
          <w:lang w:val="en-US" w:eastAsia="zh-CN"/>
        </w:rPr>
        <w:t>海</w:t>
      </w:r>
      <w:r>
        <w:rPr>
          <w:rFonts w:hint="default" w:ascii="仿宋_GB2312" w:hAnsi="仿宋_GB2312" w:eastAsia="仿宋_GB2312" w:cs="仿宋_GB2312"/>
          <w:color w:val="auto"/>
          <w:spacing w:val="0"/>
          <w:sz w:val="32"/>
          <w:szCs w:val="32"/>
          <w:highlight w:val="none"/>
          <w:lang w:val="en-US" w:eastAsia="zh-CN"/>
        </w:rPr>
        <w:t>安</w:t>
      </w:r>
      <w:r>
        <w:rPr>
          <w:rFonts w:hint="eastAsia" w:ascii="仿宋_GB2312" w:hAnsi="仿宋_GB2312" w:eastAsia="仿宋_GB2312" w:cs="仿宋_GB2312"/>
          <w:color w:val="auto"/>
          <w:spacing w:val="0"/>
          <w:sz w:val="32"/>
          <w:szCs w:val="32"/>
          <w:highlight w:val="none"/>
          <w:lang w:val="en-US" w:eastAsia="zh-CN"/>
        </w:rPr>
        <w:t>委</w:t>
      </w:r>
      <w:r>
        <w:rPr>
          <w:rFonts w:hint="default" w:ascii="仿宋_GB2312" w:hAnsi="仿宋_GB2312" w:eastAsia="仿宋_GB2312" w:cs="仿宋_GB2312"/>
          <w:color w:val="auto"/>
          <w:spacing w:val="0"/>
          <w:sz w:val="32"/>
          <w:szCs w:val="32"/>
          <w:highlight w:val="none"/>
          <w:lang w:val="en-US" w:eastAsia="zh-CN"/>
        </w:rPr>
        <w:t>〔2024〕1</w:t>
      </w:r>
      <w:r>
        <w:rPr>
          <w:rFonts w:hint="eastAsia" w:ascii="仿宋_GB2312" w:hAnsi="仿宋_GB2312" w:eastAsia="仿宋_GB2312" w:cs="仿宋_GB2312"/>
          <w:color w:val="auto"/>
          <w:spacing w:val="0"/>
          <w:sz w:val="32"/>
          <w:szCs w:val="32"/>
          <w:highlight w:val="none"/>
          <w:lang w:val="en-US" w:eastAsia="zh-CN"/>
        </w:rPr>
        <w:t>0</w:t>
      </w:r>
      <w:r>
        <w:rPr>
          <w:rFonts w:hint="default" w:ascii="仿宋_GB2312" w:hAnsi="仿宋_GB2312" w:eastAsia="仿宋_GB2312" w:cs="仿宋_GB2312"/>
          <w:color w:val="auto"/>
          <w:spacing w:val="0"/>
          <w:sz w:val="32"/>
          <w:szCs w:val="32"/>
          <w:highlight w:val="none"/>
          <w:lang w:val="en-US" w:eastAsia="zh-CN"/>
        </w:rPr>
        <w:t>号）</w:t>
      </w:r>
      <w:r>
        <w:rPr>
          <w:rFonts w:hint="default" w:ascii="仿宋_GB2312" w:hAnsi="仿宋_GB2312" w:eastAsia="仿宋_GB2312" w:cs="仿宋_GB2312"/>
          <w:color w:val="auto"/>
          <w:spacing w:val="0"/>
          <w:sz w:val="32"/>
          <w:szCs w:val="32"/>
          <w:highlight w:val="none"/>
          <w:lang w:val="en" w:eastAsia="zh-CN"/>
        </w:rPr>
        <w:t>要求</w:t>
      </w:r>
      <w:r>
        <w:rPr>
          <w:rFonts w:hint="default" w:ascii="仿宋_GB2312" w:hAnsi="仿宋_GB2312" w:eastAsia="仿宋_GB2312" w:cs="仿宋_GB2312"/>
          <w:color w:val="auto"/>
          <w:spacing w:val="0"/>
          <w:sz w:val="32"/>
          <w:szCs w:val="32"/>
          <w:highlight w:val="none"/>
          <w:lang w:val="en-US" w:eastAsia="zh-CN"/>
        </w:rPr>
        <w:t>，加强安全生产</w:t>
      </w:r>
      <w:r>
        <w:rPr>
          <w:rFonts w:hint="default" w:ascii="Times New Roman" w:hAnsi="Times New Roman" w:eastAsia="仿宋_GB2312" w:cs="Times New Roman"/>
          <w:snapToGrid/>
          <w:color w:val="auto"/>
          <w:spacing w:val="0"/>
          <w:kern w:val="0"/>
          <w:sz w:val="32"/>
          <w:szCs w:val="32"/>
          <w:highlight w:val="none"/>
          <w:u w:val="none" w:color="auto"/>
        </w:rPr>
        <w:t>诚信体系建设，完善联合惩戒和联合激励机制</w:t>
      </w:r>
      <w:r>
        <w:rPr>
          <w:rFonts w:hint="default" w:ascii="Times New Roman" w:hAnsi="Times New Roman" w:eastAsia="仿宋_GB2312" w:cs="Times New Roman"/>
          <w:snapToGrid/>
          <w:color w:val="auto"/>
          <w:spacing w:val="0"/>
          <w:kern w:val="0"/>
          <w:sz w:val="32"/>
          <w:szCs w:val="32"/>
          <w:highlight w:val="none"/>
          <w:u w:val="none" w:color="auto"/>
          <w:lang w:eastAsia="zh-CN"/>
        </w:rPr>
        <w:t>，进一步落实</w:t>
      </w:r>
      <w:r>
        <w:rPr>
          <w:rFonts w:hint="default" w:ascii="Times New Roman" w:hAnsi="Times New Roman" w:eastAsia="仿宋_GB2312" w:cs="Times New Roman"/>
          <w:snapToGrid/>
          <w:color w:val="auto"/>
          <w:spacing w:val="0"/>
          <w:kern w:val="0"/>
          <w:sz w:val="32"/>
          <w:szCs w:val="32"/>
          <w:highlight w:val="none"/>
          <w:u w:val="none" w:color="auto"/>
          <w:lang w:val="en-US" w:eastAsia="zh-CN"/>
        </w:rPr>
        <w:t>安全</w:t>
      </w:r>
      <w:r>
        <w:rPr>
          <w:rFonts w:hint="default" w:ascii="Times New Roman" w:hAnsi="Times New Roman" w:eastAsia="仿宋_GB2312" w:cs="Times New Roman"/>
          <w:snapToGrid/>
          <w:color w:val="auto"/>
          <w:spacing w:val="0"/>
          <w:kern w:val="0"/>
          <w:sz w:val="32"/>
          <w:szCs w:val="32"/>
          <w:highlight w:val="none"/>
          <w:u w:val="none" w:color="auto"/>
          <w:lang w:eastAsia="zh-CN"/>
        </w:rPr>
        <w:t>防范措施和全面落实生产经营单位安全生产主体责任；</w:t>
      </w:r>
      <w:r>
        <w:rPr>
          <w:rFonts w:hint="default" w:ascii="Times New Roman" w:hAnsi="Times New Roman" w:eastAsia="仿宋_GB2312" w:cs="Times New Roman"/>
          <w:color w:val="auto"/>
          <w:sz w:val="32"/>
          <w:szCs w:val="32"/>
          <w:highlight w:val="none"/>
          <w:lang w:val="en-US" w:eastAsia="zh-CN"/>
        </w:rPr>
        <w:t>及时统计报送生产安全事故信息、安全生产行政执法检查情况，提高生产安全事故、安全生产行政执法统计直报率。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二、消防工作方面</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kern w:val="2"/>
          <w:sz w:val="32"/>
          <w:szCs w:val="32"/>
        </w:rPr>
      </w:pPr>
      <w:r>
        <w:rPr>
          <w:rFonts w:hint="eastAsia" w:ascii="楷体_GB2312" w:hAnsi="楷体_GB2312" w:eastAsia="楷体_GB2312" w:cs="楷体_GB2312"/>
          <w:b/>
          <w:bCs/>
          <w:spacing w:val="0"/>
          <w:kern w:val="2"/>
          <w:sz w:val="32"/>
          <w:szCs w:val="32"/>
          <w:lang w:val="en-US" w:eastAsia="zh-CN" w:bidi="ar-SA"/>
        </w:rPr>
        <w:t>（一）火灾防控目标。</w:t>
      </w:r>
      <w:r>
        <w:rPr>
          <w:rFonts w:hint="eastAsia" w:ascii="仿宋_GB2312" w:hAnsi="仿宋_GB2312" w:eastAsia="仿宋_GB2312" w:cs="仿宋_GB2312"/>
          <w:spacing w:val="0"/>
          <w:kern w:val="2"/>
          <w:sz w:val="32"/>
          <w:szCs w:val="32"/>
        </w:rPr>
        <w:t>坚持“人民至上、生命至上”，严防“小火亡人”火灾事故，遏制亡人火灾的发生。重大活动、重要节日期间，不发生亡人或有影响的火灾。</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000000"/>
          <w:spacing w:val="0"/>
          <w:kern w:val="2"/>
          <w:sz w:val="32"/>
          <w:szCs w:val="32"/>
          <w:highlight w:val="none"/>
          <w:u w:val="none"/>
        </w:rPr>
      </w:pPr>
      <w:r>
        <w:rPr>
          <w:rFonts w:hint="eastAsia" w:ascii="楷体_GB2312" w:hAnsi="楷体_GB2312" w:eastAsia="楷体_GB2312" w:cs="楷体_GB2312"/>
          <w:b/>
          <w:bCs/>
          <w:spacing w:val="0"/>
          <w:kern w:val="2"/>
          <w:sz w:val="32"/>
          <w:szCs w:val="32"/>
          <w:lang w:val="en-US" w:eastAsia="zh-CN" w:bidi="ar-SA"/>
        </w:rPr>
        <w:t>（二）落实消防工作责任制。</w:t>
      </w:r>
      <w:r>
        <w:rPr>
          <w:rFonts w:hint="eastAsia" w:ascii="仿宋_GB2312" w:hAnsi="仿宋_GB2312" w:eastAsia="仿宋_GB2312" w:cs="仿宋_GB2312"/>
          <w:spacing w:val="0"/>
          <w:kern w:val="2"/>
          <w:sz w:val="32"/>
          <w:szCs w:val="32"/>
        </w:rPr>
        <w:t>将消防工作列入</w:t>
      </w:r>
      <w:r>
        <w:rPr>
          <w:rFonts w:hint="eastAsia" w:ascii="仿宋_GB2312" w:hAnsi="仿宋_GB2312" w:eastAsia="仿宋_GB2312" w:cs="仿宋_GB2312"/>
          <w:spacing w:val="0"/>
          <w:kern w:val="2"/>
          <w:sz w:val="32"/>
          <w:szCs w:val="32"/>
          <w:lang w:eastAsia="zh-CN"/>
        </w:rPr>
        <w:t>本</w:t>
      </w:r>
      <w:r>
        <w:rPr>
          <w:rFonts w:hint="eastAsia" w:ascii="仿宋_GB2312" w:hAnsi="仿宋_GB2312" w:eastAsia="仿宋_GB2312" w:cs="仿宋_GB2312"/>
          <w:color w:val="000000"/>
          <w:spacing w:val="0"/>
          <w:kern w:val="2"/>
          <w:sz w:val="32"/>
          <w:szCs w:val="32"/>
          <w:lang w:val="en-US" w:eastAsia="zh-CN"/>
        </w:rPr>
        <w:t>街道</w:t>
      </w:r>
      <w:r>
        <w:rPr>
          <w:rFonts w:hint="eastAsia" w:ascii="仿宋_GB2312" w:hAnsi="仿宋_GB2312" w:eastAsia="仿宋_GB2312" w:cs="仿宋_GB2312"/>
          <w:spacing w:val="0"/>
          <w:kern w:val="2"/>
          <w:sz w:val="32"/>
          <w:szCs w:val="32"/>
        </w:rPr>
        <w:t>工作重要议事日程。</w:t>
      </w:r>
      <w:r>
        <w:rPr>
          <w:rFonts w:hint="eastAsia" w:ascii="仿宋_GB2312" w:hAnsi="仿宋_GB2312" w:eastAsia="仿宋_GB2312" w:cs="仿宋_GB2312"/>
          <w:spacing w:val="0"/>
          <w:kern w:val="2"/>
          <w:sz w:val="32"/>
          <w:szCs w:val="32"/>
          <w:lang w:val="en-US" w:eastAsia="zh-CN"/>
        </w:rPr>
        <w:t>街道</w:t>
      </w:r>
      <w:r>
        <w:rPr>
          <w:rFonts w:hint="eastAsia" w:ascii="仿宋_GB2312" w:hAnsi="仿宋_GB2312" w:eastAsia="仿宋_GB2312" w:cs="仿宋_GB2312"/>
          <w:spacing w:val="0"/>
          <w:kern w:val="2"/>
          <w:sz w:val="32"/>
          <w:szCs w:val="32"/>
        </w:rPr>
        <w:t>领导落实“一岗双责”，</w:t>
      </w:r>
      <w:r>
        <w:rPr>
          <w:rFonts w:hint="eastAsia" w:ascii="仿宋_GB2312" w:hAnsi="仿宋_GB2312" w:eastAsia="仿宋_GB2312" w:cs="仿宋_GB2312"/>
          <w:color w:val="000000"/>
          <w:spacing w:val="0"/>
          <w:kern w:val="2"/>
          <w:sz w:val="32"/>
          <w:szCs w:val="32"/>
        </w:rPr>
        <w:t>牵头负责挂点</w:t>
      </w:r>
      <w:r>
        <w:rPr>
          <w:rFonts w:hint="eastAsia" w:ascii="仿宋_GB2312" w:hAnsi="仿宋_GB2312" w:eastAsia="仿宋_GB2312" w:cs="仿宋_GB2312"/>
          <w:color w:val="000000"/>
          <w:spacing w:val="0"/>
          <w:kern w:val="2"/>
          <w:sz w:val="32"/>
          <w:szCs w:val="32"/>
          <w:lang w:val="en-US" w:eastAsia="zh-CN"/>
        </w:rPr>
        <w:t>村（居）</w:t>
      </w:r>
      <w:r>
        <w:rPr>
          <w:rFonts w:hint="eastAsia" w:ascii="仿宋_GB2312" w:hAnsi="仿宋_GB2312" w:eastAsia="仿宋_GB2312" w:cs="仿宋_GB2312"/>
          <w:color w:val="000000"/>
          <w:spacing w:val="0"/>
          <w:kern w:val="2"/>
          <w:sz w:val="32"/>
          <w:szCs w:val="32"/>
        </w:rPr>
        <w:t>（区域）、分管部门（领域）的消防安全工作</w:t>
      </w:r>
      <w:r>
        <w:rPr>
          <w:rFonts w:hint="eastAsia" w:ascii="仿宋_GB2312" w:hAnsi="仿宋_GB2312" w:eastAsia="仿宋_GB2312" w:cs="仿宋_GB2312"/>
          <w:spacing w:val="0"/>
          <w:kern w:val="2"/>
          <w:sz w:val="32"/>
          <w:szCs w:val="32"/>
        </w:rPr>
        <w:t>，定期带队开展检查、主持召开会议，研究解决消防重点、难点问题。</w:t>
      </w:r>
      <w:r>
        <w:rPr>
          <w:rFonts w:hint="eastAsia" w:ascii="仿宋_GB2312" w:hAnsi="仿宋_GB2312" w:eastAsia="仿宋_GB2312" w:cs="仿宋_GB2312"/>
          <w:color w:val="000000"/>
          <w:spacing w:val="0"/>
          <w:kern w:val="2"/>
          <w:sz w:val="32"/>
          <w:szCs w:val="32"/>
          <w:highlight w:val="none"/>
          <w:u w:val="none"/>
          <w:lang w:val="en-US" w:eastAsia="zh-CN"/>
        </w:rPr>
        <w:t>督促村（居）民委员会在职责范围内，对本辖区消防工作实施监督管理，督促本辖区社会单位落实消防安全主体责任。配合相关部门</w:t>
      </w:r>
      <w:r>
        <w:rPr>
          <w:rFonts w:hint="eastAsia" w:ascii="仿宋_GB2312" w:hAnsi="仿宋_GB2312" w:eastAsia="仿宋_GB2312" w:cs="仿宋_GB2312"/>
          <w:color w:val="000000"/>
          <w:spacing w:val="0"/>
          <w:kern w:val="2"/>
          <w:sz w:val="32"/>
          <w:szCs w:val="32"/>
          <w:highlight w:val="none"/>
          <w:u w:val="none"/>
        </w:rPr>
        <w:t>组织开展火灾事故调查处理工作</w:t>
      </w:r>
      <w:r>
        <w:rPr>
          <w:rFonts w:hint="eastAsia" w:ascii="仿宋_GB2312" w:hAnsi="仿宋_GB2312" w:eastAsia="仿宋_GB2312" w:cs="仿宋_GB2312"/>
          <w:color w:val="000000"/>
          <w:spacing w:val="0"/>
          <w:kern w:val="2"/>
          <w:sz w:val="32"/>
          <w:szCs w:val="32"/>
          <w:highlight w:val="none"/>
          <w:u w:val="none"/>
          <w:lang w:eastAsia="zh-CN"/>
        </w:rPr>
        <w:t>，</w:t>
      </w:r>
      <w:r>
        <w:rPr>
          <w:rFonts w:hint="eastAsia" w:ascii="仿宋_GB2312" w:hAnsi="仿宋_GB2312" w:eastAsia="仿宋_GB2312" w:cs="仿宋_GB2312"/>
          <w:color w:val="000000"/>
          <w:spacing w:val="0"/>
          <w:kern w:val="2"/>
          <w:sz w:val="32"/>
          <w:szCs w:val="32"/>
          <w:highlight w:val="none"/>
          <w:u w:val="none"/>
        </w:rPr>
        <w:t>通报约谈火灾多发或发生亡人火灾的</w:t>
      </w:r>
      <w:r>
        <w:rPr>
          <w:rFonts w:hint="eastAsia" w:ascii="仿宋_GB2312" w:hAnsi="仿宋_GB2312" w:eastAsia="仿宋_GB2312" w:cs="仿宋_GB2312"/>
          <w:color w:val="000000"/>
          <w:spacing w:val="0"/>
          <w:kern w:val="2"/>
          <w:sz w:val="32"/>
          <w:szCs w:val="32"/>
          <w:highlight w:val="none"/>
          <w:u w:val="none"/>
          <w:lang w:val="en-US" w:eastAsia="zh-CN"/>
        </w:rPr>
        <w:t>村（居）和单位</w:t>
      </w:r>
      <w:r>
        <w:rPr>
          <w:rFonts w:hint="eastAsia" w:ascii="仿宋_GB2312" w:hAnsi="仿宋_GB2312" w:eastAsia="仿宋_GB2312" w:cs="仿宋_GB2312"/>
          <w:color w:val="000000"/>
          <w:spacing w:val="0"/>
          <w:kern w:val="2"/>
          <w:sz w:val="32"/>
          <w:szCs w:val="32"/>
          <w:highlight w:val="none"/>
          <w:u w:val="none"/>
        </w:rPr>
        <w:t>。针对亡人或有影响的火灾，</w:t>
      </w:r>
      <w:r>
        <w:rPr>
          <w:rFonts w:hint="eastAsia" w:ascii="仿宋_GB2312" w:hAnsi="仿宋_GB2312" w:eastAsia="仿宋_GB2312" w:cs="仿宋_GB2312"/>
          <w:color w:val="000000"/>
          <w:spacing w:val="0"/>
          <w:kern w:val="2"/>
          <w:sz w:val="32"/>
          <w:szCs w:val="32"/>
          <w:highlight w:val="none"/>
          <w:u w:val="none"/>
          <w:lang w:val="en-US" w:eastAsia="zh-CN"/>
        </w:rPr>
        <w:t>配合相关部门</w:t>
      </w:r>
      <w:r>
        <w:rPr>
          <w:rFonts w:hint="eastAsia" w:ascii="仿宋_GB2312" w:hAnsi="仿宋_GB2312" w:eastAsia="仿宋_GB2312" w:cs="仿宋_GB2312"/>
          <w:color w:val="000000"/>
          <w:spacing w:val="0"/>
          <w:kern w:val="2"/>
          <w:sz w:val="32"/>
          <w:szCs w:val="32"/>
          <w:highlight w:val="none"/>
          <w:u w:val="none"/>
        </w:rPr>
        <w:t>组织开展火灾事故延伸调查。</w:t>
      </w:r>
    </w:p>
    <w:p>
      <w:pPr>
        <w:pStyle w:val="9"/>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3" w:firstLineChars="200"/>
        <w:jc w:val="both"/>
        <w:textAlignment w:val="auto"/>
        <w:rPr>
          <w:rFonts w:hint="eastAsia" w:ascii="仿宋_GB2312" w:hAnsi="仿宋_GB2312" w:eastAsia="仿宋_GB2312" w:cs="仿宋_GB2312"/>
          <w:color w:val="000000"/>
          <w:spacing w:val="0"/>
          <w:kern w:val="2"/>
          <w:sz w:val="32"/>
          <w:szCs w:val="32"/>
          <w:highlight w:val="none"/>
          <w:u w:val="none"/>
          <w:lang w:val="en-US" w:eastAsia="zh-CN"/>
        </w:rPr>
      </w:pPr>
      <w:r>
        <w:rPr>
          <w:rFonts w:hint="eastAsia" w:ascii="楷体_GB2312" w:hAnsi="楷体_GB2312" w:eastAsia="楷体_GB2312" w:cs="楷体_GB2312"/>
          <w:b/>
          <w:bCs/>
          <w:spacing w:val="0"/>
          <w:kern w:val="2"/>
          <w:sz w:val="32"/>
          <w:szCs w:val="32"/>
          <w:lang w:val="en-US" w:eastAsia="zh-CN" w:bidi="ar-SA"/>
        </w:rPr>
        <w:t>（三）完善消防工作机制。</w:t>
      </w:r>
      <w:r>
        <w:rPr>
          <w:rFonts w:hint="eastAsia" w:ascii="仿宋_GB2312" w:hAnsi="仿宋_GB2312" w:eastAsia="仿宋_GB2312" w:cs="仿宋_GB2312"/>
          <w:spacing w:val="0"/>
          <w:kern w:val="2"/>
          <w:sz w:val="32"/>
          <w:szCs w:val="32"/>
        </w:rPr>
        <w:t>年初召开年度消防工作会议，</w:t>
      </w:r>
      <w:r>
        <w:rPr>
          <w:rFonts w:hint="eastAsia" w:ascii="仿宋_GB2312" w:hAnsi="仿宋_GB2312" w:eastAsia="仿宋_GB2312" w:cs="仿宋_GB2312"/>
          <w:color w:val="000000"/>
          <w:spacing w:val="0"/>
          <w:kern w:val="2"/>
          <w:sz w:val="32"/>
          <w:szCs w:val="32"/>
          <w:highlight w:val="none"/>
          <w:u w:val="none"/>
        </w:rPr>
        <w:t>全年至少召开1次</w:t>
      </w:r>
      <w:r>
        <w:rPr>
          <w:rFonts w:hint="eastAsia" w:ascii="仿宋_GB2312" w:hAnsi="仿宋_GB2312" w:eastAsia="仿宋_GB2312" w:cs="仿宋_GB2312"/>
          <w:color w:val="000000"/>
          <w:spacing w:val="0"/>
          <w:kern w:val="2"/>
          <w:sz w:val="32"/>
          <w:szCs w:val="32"/>
          <w:highlight w:val="none"/>
          <w:u w:val="none"/>
          <w:lang w:val="en-US" w:eastAsia="zh-CN"/>
        </w:rPr>
        <w:t>两委</w:t>
      </w:r>
      <w:r>
        <w:rPr>
          <w:rFonts w:hint="eastAsia" w:ascii="仿宋_GB2312" w:hAnsi="仿宋_GB2312" w:eastAsia="仿宋_GB2312" w:cs="仿宋_GB2312"/>
          <w:color w:val="000000"/>
          <w:spacing w:val="0"/>
          <w:kern w:val="2"/>
          <w:sz w:val="32"/>
          <w:szCs w:val="32"/>
          <w:highlight w:val="none"/>
          <w:u w:val="none"/>
        </w:rPr>
        <w:t>会议，每季度至少召开1次</w:t>
      </w:r>
      <w:r>
        <w:rPr>
          <w:rFonts w:hint="eastAsia" w:ascii="仿宋_GB2312" w:hAnsi="仿宋_GB2312" w:eastAsia="仿宋_GB2312" w:cs="仿宋_GB2312"/>
          <w:spacing w:val="0"/>
          <w:kern w:val="2"/>
          <w:sz w:val="32"/>
          <w:szCs w:val="32"/>
        </w:rPr>
        <w:t>消防安全委员会会议</w:t>
      </w:r>
      <w:r>
        <w:rPr>
          <w:rFonts w:hint="eastAsia" w:ascii="仿宋_GB2312" w:hAnsi="仿宋_GB2312" w:eastAsia="仿宋_GB2312" w:cs="仿宋_GB2312"/>
          <w:color w:val="000000"/>
          <w:spacing w:val="0"/>
          <w:kern w:val="2"/>
          <w:sz w:val="32"/>
          <w:szCs w:val="32"/>
          <w:highlight w:val="none"/>
          <w:u w:val="none"/>
        </w:rPr>
        <w:t>，通报火情、研判形势、提示预警，部署针对性防范措施，调度重点工作任务，</w:t>
      </w:r>
      <w:r>
        <w:rPr>
          <w:rFonts w:hint="eastAsia" w:ascii="仿宋_GB2312" w:hAnsi="仿宋_GB2312" w:eastAsia="仿宋_GB2312" w:cs="仿宋_GB2312"/>
          <w:spacing w:val="0"/>
          <w:kern w:val="2"/>
          <w:sz w:val="32"/>
          <w:szCs w:val="32"/>
        </w:rPr>
        <w:t>督促</w:t>
      </w:r>
      <w:r>
        <w:rPr>
          <w:rFonts w:hint="eastAsia" w:ascii="仿宋_GB2312" w:hAnsi="仿宋_GB2312" w:eastAsia="仿宋_GB2312" w:cs="仿宋_GB2312"/>
          <w:spacing w:val="0"/>
          <w:kern w:val="2"/>
          <w:sz w:val="32"/>
          <w:szCs w:val="32"/>
          <w:lang w:val="en-US" w:eastAsia="zh-CN"/>
        </w:rPr>
        <w:t>村（居）</w:t>
      </w:r>
      <w:r>
        <w:rPr>
          <w:rFonts w:hint="eastAsia" w:ascii="仿宋_GB2312" w:hAnsi="仿宋_GB2312" w:eastAsia="仿宋_GB2312" w:cs="仿宋_GB2312"/>
          <w:spacing w:val="0"/>
          <w:kern w:val="2"/>
          <w:sz w:val="32"/>
          <w:szCs w:val="32"/>
        </w:rPr>
        <w:t>及部门依法履行消防工作职责</w:t>
      </w:r>
      <w:r>
        <w:rPr>
          <w:rFonts w:hint="eastAsia" w:ascii="仿宋_GB2312" w:hAnsi="仿宋_GB2312" w:eastAsia="仿宋_GB2312" w:cs="仿宋_GB2312"/>
          <w:color w:val="000000"/>
          <w:spacing w:val="0"/>
          <w:kern w:val="2"/>
          <w:sz w:val="32"/>
          <w:szCs w:val="32"/>
          <w:highlight w:val="none"/>
          <w:u w:val="none"/>
        </w:rPr>
        <w:t>，解决消防安全突出问题。</w:t>
      </w:r>
      <w:r>
        <w:rPr>
          <w:rFonts w:hint="eastAsia" w:ascii="仿宋_GB2312" w:hAnsi="仿宋_GB2312" w:eastAsia="仿宋_GB2312" w:cs="仿宋_GB2312"/>
          <w:spacing w:val="0"/>
          <w:kern w:val="2"/>
          <w:sz w:val="32"/>
          <w:szCs w:val="32"/>
        </w:rPr>
        <w:t>健全消防工作督导机制，</w:t>
      </w:r>
      <w:r>
        <w:rPr>
          <w:rFonts w:hint="eastAsia" w:ascii="仿宋_GB2312" w:hAnsi="仿宋_GB2312" w:eastAsia="仿宋_GB2312" w:cs="仿宋_GB2312"/>
          <w:color w:val="000000"/>
          <w:spacing w:val="0"/>
          <w:kern w:val="2"/>
          <w:sz w:val="32"/>
          <w:szCs w:val="32"/>
          <w:highlight w:val="none"/>
          <w:u w:val="none"/>
        </w:rPr>
        <w:t>每半年开展1次消防工作</w:t>
      </w:r>
      <w:r>
        <w:rPr>
          <w:rFonts w:hint="eastAsia" w:ascii="仿宋_GB2312" w:hAnsi="仿宋_GB2312" w:eastAsia="仿宋_GB2312" w:cs="仿宋_GB2312"/>
          <w:spacing w:val="0"/>
          <w:kern w:val="2"/>
          <w:sz w:val="32"/>
          <w:szCs w:val="32"/>
        </w:rPr>
        <w:t>综合性督查</w:t>
      </w:r>
      <w:r>
        <w:rPr>
          <w:rFonts w:hint="eastAsia" w:ascii="仿宋_GB2312" w:hAnsi="仿宋_GB2312" w:eastAsia="仿宋_GB2312" w:cs="仿宋_GB2312"/>
          <w:color w:val="000000"/>
          <w:spacing w:val="0"/>
          <w:kern w:val="2"/>
          <w:sz w:val="32"/>
          <w:szCs w:val="32"/>
          <w:highlight w:val="none"/>
          <w:u w:val="none"/>
          <w:lang w:val="en-US" w:eastAsia="zh-CN"/>
        </w:rPr>
        <w:t>，</w:t>
      </w:r>
      <w:r>
        <w:rPr>
          <w:rFonts w:hint="eastAsia" w:ascii="仿宋_GB2312" w:hAnsi="仿宋_GB2312" w:eastAsia="仿宋_GB2312" w:cs="仿宋_GB2312"/>
          <w:spacing w:val="0"/>
          <w:kern w:val="2"/>
          <w:sz w:val="32"/>
          <w:szCs w:val="32"/>
        </w:rPr>
        <w:t>督促隐患问题整改到位</w:t>
      </w:r>
      <w:r>
        <w:rPr>
          <w:rFonts w:hint="eastAsia" w:ascii="仿宋_GB2312" w:hAnsi="仿宋_GB2312" w:eastAsia="仿宋_GB2312" w:cs="仿宋_GB2312"/>
          <w:color w:val="000000"/>
          <w:spacing w:val="0"/>
          <w:kern w:val="2"/>
          <w:sz w:val="32"/>
          <w:szCs w:val="32"/>
          <w:highlight w:val="none"/>
          <w:u w:val="none"/>
          <w:lang w:val="en-US" w:eastAsia="zh-CN"/>
        </w:rPr>
        <w:t>。</w:t>
      </w:r>
      <w:r>
        <w:rPr>
          <w:rFonts w:hint="eastAsia" w:ascii="仿宋_GB2312" w:hAnsi="仿宋_GB2312" w:eastAsia="仿宋_GB2312" w:cs="仿宋_GB2312"/>
          <w:spacing w:val="0"/>
          <w:kern w:val="2"/>
          <w:sz w:val="32"/>
          <w:szCs w:val="32"/>
        </w:rPr>
        <w:t>发挥</w:t>
      </w:r>
      <w:r>
        <w:rPr>
          <w:rFonts w:hint="eastAsia" w:ascii="仿宋_GB2312" w:hAnsi="仿宋_GB2312" w:eastAsia="仿宋_GB2312" w:cs="仿宋_GB2312"/>
          <w:spacing w:val="0"/>
          <w:kern w:val="2"/>
          <w:sz w:val="32"/>
          <w:szCs w:val="32"/>
          <w:lang w:val="en-US" w:eastAsia="zh-CN"/>
        </w:rPr>
        <w:t>街道</w:t>
      </w:r>
      <w:r>
        <w:rPr>
          <w:rFonts w:hint="eastAsia" w:ascii="仿宋_GB2312" w:hAnsi="仿宋_GB2312" w:eastAsia="仿宋_GB2312" w:cs="仿宋_GB2312"/>
          <w:spacing w:val="0"/>
          <w:kern w:val="2"/>
          <w:sz w:val="32"/>
          <w:szCs w:val="32"/>
        </w:rPr>
        <w:t>消防工作方面协调机制作用，组织对</w:t>
      </w:r>
      <w:r>
        <w:rPr>
          <w:rFonts w:hint="eastAsia" w:ascii="仿宋_GB2312" w:hAnsi="仿宋_GB2312" w:eastAsia="仿宋_GB2312" w:cs="仿宋_GB2312"/>
          <w:spacing w:val="0"/>
          <w:kern w:val="2"/>
          <w:sz w:val="32"/>
          <w:szCs w:val="32"/>
          <w:lang w:val="en-US" w:eastAsia="zh-CN"/>
        </w:rPr>
        <w:t>成员单位、村（居）</w:t>
      </w:r>
      <w:r>
        <w:rPr>
          <w:rFonts w:hint="eastAsia" w:ascii="仿宋_GB2312" w:hAnsi="仿宋_GB2312" w:eastAsia="仿宋_GB2312" w:cs="仿宋_GB2312"/>
          <w:spacing w:val="0"/>
          <w:kern w:val="2"/>
          <w:sz w:val="32"/>
          <w:szCs w:val="32"/>
        </w:rPr>
        <w:t>消防工作开展情况进行明察暗访，通报隐患问题，督促整改消防安全隐患，提升消防工作质效</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color w:val="000000"/>
          <w:spacing w:val="0"/>
          <w:kern w:val="2"/>
          <w:sz w:val="32"/>
          <w:szCs w:val="32"/>
          <w:highlight w:val="none"/>
          <w:u w:val="none"/>
        </w:rPr>
        <w:t>每半年对辖区消防安全形势进行分析研判，并向</w:t>
      </w:r>
      <w:r>
        <w:rPr>
          <w:rFonts w:hint="eastAsia" w:ascii="仿宋_GB2312" w:hAnsi="仿宋_GB2312" w:eastAsia="仿宋_GB2312" w:cs="仿宋_GB2312"/>
          <w:color w:val="000000"/>
          <w:spacing w:val="0"/>
          <w:kern w:val="2"/>
          <w:sz w:val="32"/>
          <w:szCs w:val="32"/>
          <w:highlight w:val="none"/>
          <w:u w:val="none"/>
          <w:lang w:val="en-US" w:eastAsia="zh-CN"/>
        </w:rPr>
        <w:t>区</w:t>
      </w:r>
      <w:r>
        <w:rPr>
          <w:rFonts w:hint="eastAsia" w:ascii="仿宋_GB2312" w:hAnsi="仿宋_GB2312" w:eastAsia="仿宋_GB2312" w:cs="仿宋_GB2312"/>
          <w:color w:val="000000"/>
          <w:spacing w:val="0"/>
          <w:kern w:val="2"/>
          <w:sz w:val="32"/>
          <w:szCs w:val="32"/>
          <w:highlight w:val="none"/>
          <w:u w:val="none"/>
        </w:rPr>
        <w:t>消安委会书面报告。</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kern w:val="2"/>
          <w:sz w:val="32"/>
          <w:szCs w:val="32"/>
        </w:rPr>
      </w:pPr>
      <w:r>
        <w:rPr>
          <w:rFonts w:hint="eastAsia" w:ascii="楷体_GB2312" w:hAnsi="楷体_GB2312" w:eastAsia="楷体_GB2312" w:cs="楷体_GB2312"/>
          <w:b/>
          <w:bCs/>
          <w:spacing w:val="0"/>
          <w:kern w:val="2"/>
          <w:sz w:val="32"/>
          <w:szCs w:val="32"/>
          <w:lang w:val="en-US" w:eastAsia="zh-CN" w:bidi="ar-SA"/>
        </w:rPr>
        <w:t>（四）组织开展隐患整治。</w:t>
      </w:r>
      <w:r>
        <w:rPr>
          <w:rFonts w:hint="eastAsia" w:ascii="仿宋_GB2312" w:hAnsi="仿宋_GB2312" w:eastAsia="仿宋_GB2312" w:cs="仿宋_GB2312"/>
          <w:spacing w:val="0"/>
          <w:kern w:val="2"/>
          <w:sz w:val="32"/>
          <w:szCs w:val="32"/>
        </w:rPr>
        <w:t>按照“抓大防小、控新改旧”思路，推进消防安全治本攻坚三年行动，聚焦高层建筑、工贸企业</w:t>
      </w:r>
      <w:r>
        <w:rPr>
          <w:rFonts w:hint="eastAsia" w:ascii="仿宋_GB2312" w:hAnsi="仿宋_GB2312" w:eastAsia="仿宋_GB2312" w:cs="仿宋_GB2312"/>
          <w:spacing w:val="0"/>
          <w:kern w:val="2"/>
          <w:sz w:val="32"/>
          <w:szCs w:val="32"/>
          <w:lang w:eastAsia="zh-CN"/>
        </w:rPr>
        <w:t>（小微企业）</w:t>
      </w:r>
      <w:r>
        <w:rPr>
          <w:rFonts w:hint="eastAsia" w:ascii="仿宋_GB2312" w:hAnsi="仿宋_GB2312" w:eastAsia="仿宋_GB2312" w:cs="仿宋_GB2312"/>
          <w:spacing w:val="0"/>
          <w:kern w:val="2"/>
          <w:sz w:val="32"/>
          <w:szCs w:val="32"/>
        </w:rPr>
        <w:t>等“大单位”，经营性自建房、民间信仰活动场所、沿街店铺、“三合一”、夜市经济等“小场所”，民宿、新能源等“新业态”，城中村、“厂中厂”等“旧区域”，推动“三合一”和</w:t>
      </w:r>
      <w:r>
        <w:rPr>
          <w:rFonts w:hint="eastAsia" w:ascii="仿宋_GB2312" w:hAnsi="仿宋_GB2312" w:eastAsia="仿宋_GB2312" w:cs="仿宋_GB2312"/>
          <w:spacing w:val="0"/>
          <w:kern w:val="2"/>
          <w:sz w:val="32"/>
          <w:szCs w:val="32"/>
          <w:lang w:val="en-US" w:eastAsia="zh-CN"/>
        </w:rPr>
        <w:t>生产</w:t>
      </w:r>
      <w:r>
        <w:rPr>
          <w:rFonts w:hint="eastAsia" w:ascii="仿宋_GB2312" w:hAnsi="仿宋_GB2312" w:eastAsia="仿宋_GB2312" w:cs="仿宋_GB2312"/>
          <w:spacing w:val="0"/>
          <w:kern w:val="2"/>
          <w:sz w:val="32"/>
          <w:szCs w:val="32"/>
        </w:rPr>
        <w:t>经营自建房落实“消防技改五项措施”，抓实打通“生命通道”和“拆窗破网”行动，强化综合治理，着力提升本质安全水平，提升人员技能素质，用现代化手段提升消防安全管理质效。落实国务院办公厅《电动自行车安全隐患全链条整治行动方案》和省、市</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lang w:val="en-US" w:eastAsia="zh-CN"/>
        </w:rPr>
        <w:t>区</w:t>
      </w:r>
      <w:r>
        <w:rPr>
          <w:rFonts w:hint="eastAsia" w:ascii="仿宋_GB2312" w:hAnsi="仿宋_GB2312" w:eastAsia="仿宋_GB2312" w:cs="仿宋_GB2312"/>
          <w:spacing w:val="0"/>
          <w:kern w:val="2"/>
          <w:sz w:val="32"/>
          <w:szCs w:val="32"/>
        </w:rPr>
        <w:t>行动方案，深入开展电动自行车安全隐患全链条整治行动，建立完善长效机制，全面加强电动自行车全链条安全监管，全面提升电动自行车生产、销售、使用、停放、充电、报废回收等各环节安全水平。严格落实重大火灾隐患和区域性火灾隐患政府挂牌督办制度，</w:t>
      </w:r>
      <w:r>
        <w:rPr>
          <w:rFonts w:hint="eastAsia" w:ascii="仿宋_GB2312" w:hAnsi="仿宋_GB2312" w:eastAsia="仿宋_GB2312" w:cs="仿宋_GB2312"/>
          <w:spacing w:val="0"/>
          <w:kern w:val="2"/>
          <w:sz w:val="32"/>
          <w:szCs w:val="32"/>
          <w:lang w:val="en-US" w:eastAsia="zh-CN"/>
        </w:rPr>
        <w:t>督促</w:t>
      </w:r>
      <w:r>
        <w:rPr>
          <w:rFonts w:hint="eastAsia" w:ascii="仿宋_GB2312" w:hAnsi="仿宋_GB2312" w:eastAsia="仿宋_GB2312" w:cs="仿宋_GB2312"/>
          <w:spacing w:val="0"/>
          <w:kern w:val="2"/>
          <w:sz w:val="32"/>
          <w:szCs w:val="32"/>
        </w:rPr>
        <w:t>挂牌督办</w:t>
      </w:r>
      <w:r>
        <w:rPr>
          <w:rFonts w:hint="eastAsia" w:ascii="仿宋_GB2312" w:hAnsi="仿宋_GB2312" w:eastAsia="仿宋_GB2312" w:cs="仿宋_GB2312"/>
          <w:spacing w:val="0"/>
          <w:kern w:val="2"/>
          <w:sz w:val="32"/>
          <w:szCs w:val="32"/>
          <w:lang w:val="en-US" w:eastAsia="zh-CN"/>
        </w:rPr>
        <w:t>的</w:t>
      </w:r>
      <w:r>
        <w:rPr>
          <w:rFonts w:hint="eastAsia" w:ascii="仿宋_GB2312" w:hAnsi="仿宋_GB2312" w:eastAsia="仿宋_GB2312" w:cs="仿宋_GB2312"/>
          <w:spacing w:val="0"/>
          <w:kern w:val="2"/>
          <w:sz w:val="32"/>
          <w:szCs w:val="32"/>
        </w:rPr>
        <w:t>重大火灾隐患单位和区域</w:t>
      </w:r>
      <w:r>
        <w:rPr>
          <w:rFonts w:hint="eastAsia" w:ascii="仿宋_GB2312" w:hAnsi="仿宋_GB2312" w:eastAsia="仿宋_GB2312" w:cs="仿宋_GB2312"/>
          <w:spacing w:val="0"/>
          <w:kern w:val="2"/>
          <w:sz w:val="32"/>
          <w:szCs w:val="32"/>
          <w:lang w:val="en-US" w:eastAsia="zh-CN"/>
        </w:rPr>
        <w:t>性</w:t>
      </w:r>
      <w:r>
        <w:rPr>
          <w:rFonts w:hint="eastAsia" w:ascii="仿宋_GB2312" w:hAnsi="仿宋_GB2312" w:eastAsia="仿宋_GB2312" w:cs="仿宋_GB2312"/>
          <w:spacing w:val="0"/>
          <w:kern w:val="2"/>
          <w:sz w:val="32"/>
          <w:szCs w:val="32"/>
        </w:rPr>
        <w:t>火灾隐患</w:t>
      </w:r>
      <w:r>
        <w:rPr>
          <w:rFonts w:hint="eastAsia" w:ascii="仿宋_GB2312" w:hAnsi="仿宋_GB2312" w:eastAsia="仿宋_GB2312" w:cs="仿宋_GB2312"/>
          <w:spacing w:val="0"/>
          <w:kern w:val="2"/>
          <w:sz w:val="32"/>
          <w:szCs w:val="32"/>
          <w:lang w:val="en-US" w:eastAsia="zh-CN"/>
        </w:rPr>
        <w:t>按期完成整改销案</w:t>
      </w:r>
      <w:r>
        <w:rPr>
          <w:rFonts w:hint="eastAsia" w:ascii="仿宋_GB2312" w:hAnsi="仿宋_GB2312" w:eastAsia="仿宋_GB2312" w:cs="仿宋_GB2312"/>
          <w:spacing w:val="0"/>
          <w:kern w:val="2"/>
          <w:sz w:val="32"/>
          <w:szCs w:val="32"/>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kern w:val="2"/>
          <w:sz w:val="32"/>
          <w:szCs w:val="32"/>
        </w:rPr>
      </w:pPr>
      <w:r>
        <w:rPr>
          <w:rFonts w:hint="eastAsia" w:ascii="楷体_GB2312" w:hAnsi="楷体_GB2312" w:eastAsia="楷体_GB2312" w:cs="楷体_GB2312"/>
          <w:b/>
          <w:bCs/>
          <w:spacing w:val="0"/>
          <w:kern w:val="2"/>
          <w:sz w:val="32"/>
          <w:szCs w:val="32"/>
          <w:lang w:val="en-US" w:eastAsia="zh-CN" w:bidi="ar-SA"/>
        </w:rPr>
        <w:t>（五）抓好基层基础工作。</w:t>
      </w:r>
      <w:r>
        <w:rPr>
          <w:rFonts w:hint="eastAsia" w:ascii="仿宋_GB2312" w:hAnsi="仿宋_GB2312" w:eastAsia="仿宋_GB2312" w:cs="仿宋_GB2312"/>
          <w:spacing w:val="0"/>
          <w:kern w:val="2"/>
          <w:sz w:val="32"/>
          <w:szCs w:val="32"/>
        </w:rPr>
        <w:t>将消防安全纳入乡村振兴、城市更新和旧村及老旧小区改造、农房水电气改造项目，做到同规划、同落实。加强消安委建设，健全完善</w:t>
      </w:r>
      <w:r>
        <w:rPr>
          <w:rFonts w:hint="eastAsia" w:ascii="仿宋_GB2312" w:hAnsi="仿宋_GB2312" w:eastAsia="仿宋_GB2312" w:cs="仿宋_GB2312"/>
          <w:spacing w:val="0"/>
          <w:kern w:val="2"/>
          <w:sz w:val="32"/>
          <w:szCs w:val="32"/>
          <w:lang w:eastAsia="zh-CN"/>
        </w:rPr>
        <w:t>街道</w:t>
      </w:r>
      <w:r>
        <w:rPr>
          <w:rFonts w:hint="eastAsia" w:ascii="仿宋_GB2312" w:hAnsi="仿宋_GB2312" w:eastAsia="仿宋_GB2312" w:cs="仿宋_GB2312"/>
          <w:spacing w:val="0"/>
          <w:kern w:val="2"/>
          <w:sz w:val="32"/>
          <w:szCs w:val="32"/>
        </w:rPr>
        <w:t>消防工作</w:t>
      </w:r>
      <w:r>
        <w:rPr>
          <w:rFonts w:hint="eastAsia" w:ascii="仿宋_GB2312" w:hAnsi="仿宋_GB2312" w:eastAsia="仿宋_GB2312" w:cs="仿宋_GB2312"/>
          <w:spacing w:val="0"/>
          <w:kern w:val="2"/>
          <w:sz w:val="32"/>
          <w:szCs w:val="32"/>
          <w:lang w:eastAsia="zh-CN"/>
        </w:rPr>
        <w:t>站，</w:t>
      </w:r>
      <w:r>
        <w:rPr>
          <w:rFonts w:hint="eastAsia" w:ascii="仿宋_GB2312" w:hAnsi="仿宋_GB2312" w:eastAsia="仿宋_GB2312" w:cs="仿宋_GB2312"/>
          <w:spacing w:val="0"/>
          <w:kern w:val="2"/>
          <w:sz w:val="32"/>
          <w:szCs w:val="32"/>
        </w:rPr>
        <w:t>村</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居</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有消防工作室、微型消防站的基层消防治理组织体系。</w:t>
      </w:r>
      <w:r>
        <w:rPr>
          <w:rFonts w:hint="eastAsia" w:ascii="仿宋_GB2312" w:hAnsi="仿宋_GB2312" w:eastAsia="仿宋_GB2312" w:cs="仿宋_GB2312"/>
          <w:spacing w:val="0"/>
          <w:kern w:val="2"/>
          <w:sz w:val="32"/>
          <w:szCs w:val="32"/>
          <w:lang w:eastAsia="zh-CN"/>
        </w:rPr>
        <w:t>城中村消防小站</w:t>
      </w:r>
      <w:r>
        <w:rPr>
          <w:rFonts w:hint="eastAsia" w:ascii="仿宋_GB2312" w:hAnsi="仿宋_GB2312" w:eastAsia="仿宋_GB2312" w:cs="仿宋_GB2312"/>
          <w:spacing w:val="0"/>
          <w:kern w:val="2"/>
          <w:sz w:val="32"/>
          <w:szCs w:val="32"/>
        </w:rPr>
        <w:t>、</w:t>
      </w:r>
      <w:r>
        <w:rPr>
          <w:rFonts w:hint="eastAsia" w:ascii="仿宋_GB2312" w:hAnsi="仿宋_GB2312" w:eastAsia="仿宋_GB2312" w:cs="仿宋_GB2312"/>
          <w:spacing w:val="0"/>
          <w:kern w:val="2"/>
          <w:sz w:val="32"/>
          <w:szCs w:val="32"/>
          <w:lang w:val="en-US" w:eastAsia="zh-CN"/>
        </w:rPr>
        <w:t>社区</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lang w:val="en-US" w:eastAsia="zh-CN"/>
        </w:rPr>
        <w:t>村</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微型消防站实体化运行，落实24小时值班值守制度，接受119指挥中心调度出动。组织基层消防力量开展业务培训，提升发现和督促整改隐患的能力。发动</w:t>
      </w:r>
      <w:r>
        <w:rPr>
          <w:rFonts w:hint="eastAsia" w:ascii="仿宋_GB2312" w:hAnsi="仿宋_GB2312" w:eastAsia="仿宋_GB2312" w:cs="仿宋_GB2312"/>
          <w:spacing w:val="0"/>
          <w:kern w:val="2"/>
          <w:sz w:val="32"/>
          <w:szCs w:val="32"/>
          <w:lang w:eastAsia="zh-CN"/>
        </w:rPr>
        <w:t>村（居）</w:t>
      </w:r>
      <w:r>
        <w:rPr>
          <w:rFonts w:hint="eastAsia" w:ascii="仿宋_GB2312" w:hAnsi="仿宋_GB2312" w:eastAsia="仿宋_GB2312" w:cs="仿宋_GB2312"/>
          <w:spacing w:val="0"/>
          <w:kern w:val="2"/>
          <w:sz w:val="32"/>
          <w:szCs w:val="32"/>
        </w:rPr>
        <w:t>微型消防站、应急</w:t>
      </w:r>
      <w:r>
        <w:rPr>
          <w:rFonts w:hint="eastAsia" w:ascii="仿宋_GB2312" w:hAnsi="仿宋_GB2312" w:eastAsia="仿宋_GB2312" w:cs="仿宋_GB2312"/>
          <w:spacing w:val="0"/>
          <w:kern w:val="2"/>
          <w:sz w:val="32"/>
          <w:szCs w:val="32"/>
          <w:lang w:eastAsia="zh-CN"/>
        </w:rPr>
        <w:t>综治</w:t>
      </w:r>
      <w:r>
        <w:rPr>
          <w:rFonts w:hint="eastAsia" w:ascii="仿宋_GB2312" w:hAnsi="仿宋_GB2312" w:eastAsia="仿宋_GB2312" w:cs="仿宋_GB2312"/>
          <w:spacing w:val="0"/>
          <w:kern w:val="2"/>
          <w:sz w:val="32"/>
          <w:szCs w:val="32"/>
        </w:rPr>
        <w:t>队、治安巡逻队、基层网格等结合自身工作同步开展消防安全“5+3”必查等显见性隐患排查和消防安全宣传教育等工作。严格贯彻落实</w:t>
      </w:r>
      <w:r>
        <w:rPr>
          <w:rFonts w:hint="eastAsia" w:ascii="仿宋_GB2312" w:hAnsi="仿宋_GB2312" w:eastAsia="仿宋_GB2312" w:cs="仿宋_GB2312"/>
          <w:spacing w:val="0"/>
          <w:kern w:val="2"/>
          <w:sz w:val="32"/>
          <w:szCs w:val="32"/>
          <w:lang w:eastAsia="zh-CN"/>
        </w:rPr>
        <w:t>区委、区政府关于街道赋权消防执法工作的部署及任务要求，</w:t>
      </w:r>
      <w:r>
        <w:rPr>
          <w:rFonts w:hint="eastAsia" w:ascii="仿宋_GB2312" w:hAnsi="仿宋_GB2312" w:eastAsia="仿宋_GB2312" w:cs="仿宋_GB2312"/>
          <w:spacing w:val="0"/>
          <w:kern w:val="2"/>
          <w:sz w:val="32"/>
          <w:szCs w:val="32"/>
        </w:rPr>
        <w:t>常态化、规范化开展消防行政执法工作。</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kern w:val="2"/>
          <w:sz w:val="32"/>
          <w:szCs w:val="32"/>
        </w:rPr>
      </w:pPr>
      <w:r>
        <w:rPr>
          <w:rFonts w:hint="eastAsia" w:ascii="楷体_GB2312" w:hAnsi="楷体_GB2312" w:eastAsia="楷体_GB2312" w:cs="楷体_GB2312"/>
          <w:b/>
          <w:bCs/>
          <w:spacing w:val="0"/>
          <w:kern w:val="2"/>
          <w:sz w:val="32"/>
          <w:szCs w:val="32"/>
          <w:lang w:val="en-US" w:eastAsia="zh-CN" w:bidi="ar-SA"/>
        </w:rPr>
        <w:t>（六）加强消防基础设施建设。</w:t>
      </w:r>
      <w:r>
        <w:rPr>
          <w:rFonts w:hint="eastAsia" w:ascii="仿宋_GB2312" w:hAnsi="仿宋_GB2312" w:eastAsia="仿宋_GB2312" w:cs="仿宋_GB2312"/>
          <w:spacing w:val="0"/>
          <w:kern w:val="2"/>
          <w:sz w:val="32"/>
          <w:szCs w:val="32"/>
        </w:rPr>
        <w:t>在城中村常态化开展灭火器、逃生面罩、应急照明、消防水管、简易喷淋等消防设施器材配备更新工作。推广“消防保命墙”建设，实现居住场所与生产经营场所“实体墙硬隔离”。合理规划布局，</w:t>
      </w:r>
      <w:r>
        <w:rPr>
          <w:rFonts w:hint="eastAsia" w:ascii="仿宋_GB2312" w:hAnsi="仿宋_GB2312" w:eastAsia="仿宋_GB2312" w:cs="仿宋_GB2312"/>
          <w:spacing w:val="0"/>
          <w:kern w:val="2"/>
          <w:sz w:val="32"/>
          <w:szCs w:val="32"/>
          <w:lang w:eastAsia="zh-CN"/>
        </w:rPr>
        <w:t>联合区住建和交通局等部门，</w:t>
      </w:r>
      <w:r>
        <w:rPr>
          <w:rFonts w:hint="eastAsia" w:ascii="仿宋_GB2312" w:hAnsi="仿宋_GB2312" w:eastAsia="仿宋_GB2312" w:cs="仿宋_GB2312"/>
          <w:spacing w:val="0"/>
          <w:kern w:val="2"/>
          <w:sz w:val="32"/>
          <w:szCs w:val="32"/>
        </w:rPr>
        <w:t>在住宅小区、城中村、商业区及地铁口周边、机关企事业单位内部持续建设电动自行车停放、充电场所。推动</w:t>
      </w:r>
      <w:r>
        <w:rPr>
          <w:rFonts w:hint="eastAsia" w:ascii="仿宋_GB2312" w:hAnsi="仿宋_GB2312" w:eastAsia="仿宋_GB2312" w:cs="仿宋_GB2312"/>
          <w:spacing w:val="0"/>
          <w:kern w:val="2"/>
          <w:sz w:val="32"/>
          <w:szCs w:val="32"/>
          <w:lang w:val="en-US" w:eastAsia="zh-CN"/>
        </w:rPr>
        <w:t>辖区已安装的</w:t>
      </w:r>
      <w:r>
        <w:rPr>
          <w:rFonts w:hint="eastAsia" w:ascii="仿宋_GB2312" w:hAnsi="仿宋_GB2312" w:eastAsia="仿宋_GB2312" w:cs="仿宋_GB2312"/>
          <w:spacing w:val="0"/>
          <w:kern w:val="2"/>
          <w:sz w:val="32"/>
          <w:szCs w:val="32"/>
        </w:rPr>
        <w:t>联网式独立感烟报警探测器规范接入</w:t>
      </w:r>
      <w:r>
        <w:rPr>
          <w:rFonts w:hint="eastAsia" w:ascii="仿宋_GB2312" w:hAnsi="仿宋_GB2312" w:eastAsia="仿宋_GB2312" w:cs="仿宋_GB2312"/>
          <w:spacing w:val="0"/>
          <w:kern w:val="2"/>
          <w:sz w:val="32"/>
          <w:szCs w:val="32"/>
          <w:lang w:val="en-US" w:eastAsia="zh-CN"/>
        </w:rPr>
        <w:t>智慧消防</w:t>
      </w:r>
      <w:r>
        <w:rPr>
          <w:rFonts w:hint="eastAsia" w:ascii="仿宋_GB2312" w:hAnsi="仿宋_GB2312" w:eastAsia="仿宋_GB2312" w:cs="仿宋_GB2312"/>
          <w:spacing w:val="0"/>
          <w:kern w:val="2"/>
          <w:sz w:val="32"/>
          <w:szCs w:val="32"/>
        </w:rPr>
        <w:t>平台。继续推广联网式独立感烟报警探测器，农村留守老人、低保特困老人、残疾人智能预警装置安装率达100%。</w:t>
      </w:r>
    </w:p>
    <w:p>
      <w:pPr>
        <w:pStyle w:val="9"/>
        <w:keepNext w:val="0"/>
        <w:keepLines w:val="0"/>
        <w:pageBreakBefore w:val="0"/>
        <w:widowControl/>
        <w:suppressLineNumbers w:val="0"/>
        <w:kinsoku/>
        <w:wordWrap/>
        <w:overflowPunct/>
        <w:topLinePunct w:val="0"/>
        <w:autoSpaceDE/>
        <w:autoSpaceDN/>
        <w:bidi w:val="0"/>
        <w:adjustRightInd w:val="0"/>
        <w:snapToGrid w:val="0"/>
        <w:spacing w:line="560" w:lineRule="exact"/>
        <w:ind w:left="0" w:firstLine="643" w:firstLineChars="200"/>
        <w:jc w:val="both"/>
        <w:textAlignment w:val="auto"/>
        <w:rPr>
          <w:rFonts w:hint="eastAsia" w:ascii="仿宋_GB2312" w:hAnsi="仿宋_GB2312" w:eastAsia="仿宋_GB2312" w:cs="仿宋_GB2312"/>
          <w:spacing w:val="0"/>
          <w:kern w:val="2"/>
          <w:sz w:val="32"/>
          <w:szCs w:val="32"/>
        </w:rPr>
      </w:pPr>
      <w:r>
        <w:rPr>
          <w:rFonts w:hint="eastAsia" w:ascii="楷体_GB2312" w:hAnsi="楷体_GB2312" w:eastAsia="楷体_GB2312" w:cs="楷体_GB2312"/>
          <w:b/>
          <w:bCs/>
          <w:spacing w:val="0"/>
          <w:kern w:val="2"/>
          <w:sz w:val="32"/>
          <w:szCs w:val="32"/>
          <w:lang w:val="en-US" w:eastAsia="zh-CN" w:bidi="ar-SA"/>
        </w:rPr>
        <w:t>（七）落实消防装备建设。</w:t>
      </w:r>
      <w:r>
        <w:rPr>
          <w:rFonts w:hint="eastAsia" w:ascii="仿宋_GB2312" w:hAnsi="仿宋_GB2312" w:eastAsia="仿宋_GB2312" w:cs="仿宋_GB2312"/>
          <w:spacing w:val="0"/>
          <w:kern w:val="2"/>
          <w:sz w:val="32"/>
          <w:szCs w:val="32"/>
          <w:lang w:val="en-US" w:eastAsia="zh-CN"/>
        </w:rPr>
        <w:t>按照</w:t>
      </w:r>
      <w:r>
        <w:rPr>
          <w:rFonts w:hint="eastAsia" w:ascii="仿宋_GB2312" w:hAnsi="仿宋_GB2312" w:eastAsia="仿宋_GB2312" w:cs="仿宋_GB2312"/>
          <w:spacing w:val="0"/>
          <w:kern w:val="2"/>
          <w:sz w:val="32"/>
          <w:szCs w:val="32"/>
          <w:lang w:eastAsia="zh-CN"/>
        </w:rPr>
        <w:t>社区（村）微型消防站建设工作的</w:t>
      </w:r>
      <w:r>
        <w:rPr>
          <w:rFonts w:hint="eastAsia" w:ascii="仿宋_GB2312" w:hAnsi="仿宋_GB2312" w:eastAsia="仿宋_GB2312" w:cs="仿宋_GB2312"/>
          <w:spacing w:val="0"/>
          <w:kern w:val="2"/>
          <w:sz w:val="32"/>
          <w:szCs w:val="32"/>
          <w:lang w:val="en-US" w:eastAsia="zh-CN"/>
        </w:rPr>
        <w:t>要求</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lang w:val="en-US" w:eastAsia="zh-CN"/>
        </w:rPr>
        <w:t>完成社区（村）微型消防站提升，配齐配强人员、装备、车辆，保障场地、经费；根据城中村现代化治理消防安全专项整治工作要求，建设完善城中村消防小站，配齐配强人员、车辆、器材装备，保障场地、经费。联合区消防救援局，</w:t>
      </w:r>
      <w:r>
        <w:rPr>
          <w:rFonts w:hint="eastAsia" w:ascii="仿宋_GB2312" w:hAnsi="仿宋_GB2312" w:eastAsia="仿宋_GB2312" w:cs="仿宋_GB2312"/>
          <w:color w:val="000000"/>
          <w:spacing w:val="0"/>
          <w:kern w:val="2"/>
          <w:sz w:val="32"/>
          <w:szCs w:val="32"/>
        </w:rPr>
        <w:t>定期</w:t>
      </w:r>
      <w:r>
        <w:rPr>
          <w:rFonts w:hint="eastAsia" w:ascii="仿宋_GB2312" w:hAnsi="仿宋_GB2312" w:eastAsia="仿宋_GB2312" w:cs="仿宋_GB2312"/>
          <w:color w:val="000000"/>
          <w:spacing w:val="0"/>
          <w:kern w:val="2"/>
          <w:sz w:val="32"/>
          <w:szCs w:val="32"/>
          <w:lang w:eastAsia="zh-CN"/>
        </w:rPr>
        <w:t>组织村居微型消防站、城中村消防小站，</w:t>
      </w:r>
      <w:r>
        <w:rPr>
          <w:rFonts w:hint="eastAsia" w:ascii="仿宋_GB2312" w:hAnsi="仿宋_GB2312" w:eastAsia="仿宋_GB2312" w:cs="仿宋_GB2312"/>
          <w:color w:val="000000"/>
          <w:spacing w:val="0"/>
          <w:kern w:val="2"/>
          <w:sz w:val="32"/>
          <w:szCs w:val="32"/>
        </w:rPr>
        <w:t>开展“灾情速报”培训和拉动考核，确保</w:t>
      </w:r>
      <w:r>
        <w:rPr>
          <w:rFonts w:hint="eastAsia" w:ascii="仿宋_GB2312" w:hAnsi="仿宋_GB2312" w:eastAsia="仿宋_GB2312" w:cs="仿宋_GB2312"/>
          <w:color w:val="000000"/>
          <w:spacing w:val="0"/>
          <w:kern w:val="2"/>
          <w:sz w:val="32"/>
          <w:szCs w:val="32"/>
          <w:lang w:eastAsia="zh-CN"/>
        </w:rPr>
        <w:t>街道、</w:t>
      </w:r>
      <w:r>
        <w:rPr>
          <w:rFonts w:hint="eastAsia" w:ascii="仿宋_GB2312" w:hAnsi="仿宋_GB2312" w:eastAsia="仿宋_GB2312" w:cs="仿宋_GB2312"/>
          <w:color w:val="000000"/>
          <w:spacing w:val="0"/>
          <w:kern w:val="2"/>
          <w:sz w:val="32"/>
          <w:szCs w:val="32"/>
        </w:rPr>
        <w:t>村（居）灾情速报队伍随时可联会报。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textAlignment w:val="auto"/>
        <w:rPr>
          <w:rFonts w:hint="eastAsia" w:ascii="仿宋_GB2312" w:hAnsi="仿宋_GB2312" w:eastAsia="仿宋_GB2312" w:cs="仿宋_GB2312"/>
          <w:color w:val="auto"/>
          <w:sz w:val="32"/>
          <w:szCs w:val="32"/>
          <w:lang w:val="en-US" w:eastAsia="zh-CN"/>
        </w:rPr>
        <w:sectPr>
          <w:footerReference r:id="rId3" w:type="default"/>
          <w:pgSz w:w="11906" w:h="16838"/>
          <w:pgMar w:top="1417" w:right="1417" w:bottom="1417" w:left="1474" w:header="851" w:footer="992" w:gutter="0"/>
          <w:pgNumType w:fmt="numberInDash"/>
          <w:cols w:space="720" w:num="1"/>
          <w:docGrid w:type="lines" w:linePitch="312" w:charSpace="0"/>
        </w:sectPr>
      </w:pPr>
      <w:r>
        <w:rPr>
          <w:rFonts w:hint="eastAsia" w:ascii="楷体_GB2312" w:hAnsi="楷体_GB2312" w:eastAsia="楷体_GB2312" w:cs="楷体_GB2312"/>
          <w:b/>
          <w:bCs/>
          <w:spacing w:val="0"/>
          <w:kern w:val="2"/>
          <w:sz w:val="32"/>
          <w:szCs w:val="32"/>
          <w:lang w:val="en-US" w:eastAsia="zh-CN" w:bidi="ar-SA"/>
        </w:rPr>
        <w:t>（八）强化消防宣传教育培训。</w:t>
      </w:r>
      <w:r>
        <w:rPr>
          <w:rFonts w:hint="eastAsia" w:ascii="仿宋_GB2312" w:hAnsi="仿宋_GB2312" w:eastAsia="仿宋_GB2312" w:cs="仿宋_GB2312"/>
          <w:spacing w:val="0"/>
          <w:kern w:val="2"/>
          <w:sz w:val="32"/>
          <w:szCs w:val="32"/>
        </w:rPr>
        <w:t>按要求开展《福建省消防条例》宣贯工作。落实《海沧区2024年消防安全宣传工作意见》（厦海消安委〔2024〕11号）要求，将消防安全教育纳入义务教育、普法教育、科普教育、国民素质教育等范畴；完成“十四五”规划提升全民消防素质目标任务，统计</w:t>
      </w:r>
      <w:r>
        <w:rPr>
          <w:rFonts w:hint="eastAsia" w:ascii="仿宋_GB2312" w:hAnsi="仿宋_GB2312" w:eastAsia="仿宋_GB2312" w:cs="仿宋_GB2312"/>
          <w:spacing w:val="0"/>
          <w:kern w:val="2"/>
          <w:sz w:val="32"/>
          <w:szCs w:val="32"/>
          <w:lang w:eastAsia="zh-CN"/>
        </w:rPr>
        <w:t>属地</w:t>
      </w:r>
      <w:r>
        <w:rPr>
          <w:rFonts w:hint="eastAsia" w:ascii="仿宋_GB2312" w:hAnsi="仿宋_GB2312" w:eastAsia="仿宋_GB2312" w:cs="仿宋_GB2312"/>
          <w:spacing w:val="0"/>
          <w:kern w:val="2"/>
          <w:sz w:val="32"/>
          <w:szCs w:val="32"/>
        </w:rPr>
        <w:t>居民家庭，场所数量，重点人群信息摸排工作，青年、中年等在职群体培训覆盖率达80%，在校群体宣传教育覆盖率达100%，居家群体宣传教育覆盖率达60%，老弱病残群体宣传教育覆盖率达100%。</w:t>
      </w:r>
      <w:r>
        <w:rPr>
          <w:rFonts w:hint="eastAsia" w:ascii="仿宋_GB2312" w:hAnsi="仿宋_GB2312" w:eastAsia="仿宋_GB2312" w:cs="仿宋_GB2312"/>
          <w:spacing w:val="0"/>
          <w:kern w:val="2"/>
          <w:sz w:val="32"/>
          <w:szCs w:val="32"/>
          <w:lang w:eastAsia="zh-CN"/>
        </w:rPr>
        <w:t>至少建设一个社区消防教育馆，</w:t>
      </w:r>
      <w:r>
        <w:rPr>
          <w:rFonts w:hint="eastAsia" w:ascii="仿宋_GB2312" w:hAnsi="仿宋_GB2312" w:eastAsia="仿宋_GB2312" w:cs="仿宋_GB2312"/>
          <w:spacing w:val="0"/>
          <w:kern w:val="2"/>
          <w:sz w:val="32"/>
          <w:szCs w:val="32"/>
          <w:lang w:val="en-US" w:eastAsia="zh-CN"/>
        </w:rPr>
        <w:t>定期开放</w:t>
      </w:r>
      <w:r>
        <w:rPr>
          <w:rFonts w:hint="eastAsia" w:ascii="仿宋_GB2312" w:hAnsi="仿宋_GB2312" w:eastAsia="仿宋_GB2312" w:cs="仿宋_GB2312"/>
          <w:spacing w:val="0"/>
          <w:kern w:val="2"/>
          <w:sz w:val="32"/>
          <w:szCs w:val="32"/>
        </w:rPr>
        <w:t>社区</w:t>
      </w:r>
      <w:r>
        <w:rPr>
          <w:rFonts w:hint="eastAsia" w:ascii="仿宋_GB2312" w:hAnsi="仿宋_GB2312" w:eastAsia="仿宋_GB2312" w:cs="仿宋_GB2312"/>
          <w:spacing w:val="0"/>
          <w:kern w:val="2"/>
          <w:sz w:val="32"/>
          <w:szCs w:val="32"/>
          <w:lang w:val="en-US" w:eastAsia="zh-CN"/>
        </w:rPr>
        <w:t>消防科普</w:t>
      </w:r>
      <w:r>
        <w:rPr>
          <w:rFonts w:hint="eastAsia" w:ascii="仿宋_GB2312" w:hAnsi="仿宋_GB2312" w:eastAsia="仿宋_GB2312" w:cs="仿宋_GB2312"/>
          <w:spacing w:val="0"/>
          <w:kern w:val="2"/>
          <w:sz w:val="32"/>
          <w:szCs w:val="32"/>
        </w:rPr>
        <w:t>教育馆。</w:t>
      </w:r>
      <w:r>
        <w:rPr>
          <w:rFonts w:hint="eastAsia" w:ascii="仿宋_GB2312" w:hAnsi="仿宋_GB2312" w:eastAsia="仿宋_GB2312" w:cs="仿宋_GB2312"/>
          <w:spacing w:val="0"/>
          <w:kern w:val="2"/>
          <w:sz w:val="32"/>
          <w:szCs w:val="32"/>
          <w:lang w:eastAsia="zh-CN"/>
        </w:rPr>
        <w:t>定期组织</w:t>
      </w:r>
      <w:r>
        <w:rPr>
          <w:rFonts w:hint="eastAsia" w:ascii="仿宋_GB2312" w:hAnsi="仿宋_GB2312" w:eastAsia="仿宋_GB2312" w:cs="仿宋_GB2312"/>
          <w:spacing w:val="0"/>
          <w:kern w:val="2"/>
          <w:sz w:val="32"/>
          <w:szCs w:val="32"/>
        </w:rPr>
        <w:t>社区（村）消防宣导员</w:t>
      </w:r>
      <w:r>
        <w:rPr>
          <w:rFonts w:hint="eastAsia" w:ascii="仿宋_GB2312" w:hAnsi="仿宋_GB2312" w:eastAsia="仿宋_GB2312" w:cs="仿宋_GB2312"/>
          <w:spacing w:val="0"/>
          <w:kern w:val="2"/>
          <w:sz w:val="32"/>
          <w:szCs w:val="32"/>
          <w:lang w:eastAsia="zh-CN"/>
        </w:rPr>
        <w:t>培训。</w:t>
      </w:r>
      <w:r>
        <w:rPr>
          <w:rFonts w:hint="eastAsia" w:ascii="仿宋_GB2312" w:hAnsi="仿宋_GB2312" w:eastAsia="仿宋_GB2312" w:cs="仿宋_GB2312"/>
          <w:spacing w:val="0"/>
          <w:kern w:val="2"/>
          <w:sz w:val="32"/>
          <w:szCs w:val="32"/>
        </w:rPr>
        <w:t>社会单位全面落实消防安全“三提示”和员工“一懂三会”要求。加强典型火灾案例警示教育工作，开展身边火灾案例警示教育</w:t>
      </w:r>
      <w:r>
        <w:rPr>
          <w:rFonts w:hint="eastAsia" w:ascii="仿宋_GB2312" w:hAnsi="仿宋_GB2312" w:eastAsia="仿宋_GB2312" w:cs="仿宋_GB2312"/>
          <w:spacing w:val="0"/>
          <w:kern w:val="2"/>
          <w:sz w:val="32"/>
          <w:szCs w:val="32"/>
          <w:lang w:eastAsia="zh-CN"/>
        </w:rPr>
        <w:t>。</w:t>
      </w:r>
    </w:p>
    <w:p>
      <w:pPr>
        <w:spacing w:line="420" w:lineRule="exact"/>
        <w:rPr>
          <w:rFonts w:hint="eastAsia" w:ascii="黑体" w:hAnsi="黑体" w:eastAsia="黑体" w:cs="黑体"/>
          <w:b w:val="0"/>
          <w:bCs w:val="0"/>
          <w:color w:val="auto"/>
          <w:sz w:val="32"/>
          <w:szCs w:val="32"/>
        </w:rPr>
      </w:pPr>
      <w:bookmarkStart w:id="0" w:name="_GoBack"/>
      <w:bookmarkEnd w:id="0"/>
    </w:p>
    <w:sectPr>
      <w:footerReference r:id="rId4" w:type="default"/>
      <w:pgSz w:w="11906" w:h="16838"/>
      <w:pgMar w:top="1417" w:right="1417" w:bottom="1417"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GLQur/TAQAAngMAAA4AAAAAAAAAAQAgAAAAHwEA&#10;AGRycy9lMm9Eb2MueG1sUEsFBgAAAAAGAAYAWQEAAGQ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9"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nvMmE0QEAAJ4DAAAOAAAAAAAAAAEAIAAAAB8BAABk&#10;cnMvZTJvRG9jLnhtbFBLBQYAAAAABgAGAFkBAABi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- 14 -</w:t>
                    </w:r>
                    <w:r>
                      <w:rPr>
                        <w:rFonts w:hint="eastAsia" w:ascii="宋体" w:hAnsi="宋体" w:eastAsia="宋体" w:cs="宋体"/>
                        <w:sz w:val="28"/>
                        <w:szCs w:val="28"/>
                      </w:rPr>
                      <w:fldChar w:fldCharType="end"/>
                    </w:r>
                  </w:p>
                </w:txbxContent>
              </v:textbox>
            </v:rect>
          </w:pict>
        </mc:Fallback>
      </mc:AlternateContent>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1795D"/>
    <w:rsid w:val="06EF312C"/>
    <w:rsid w:val="0C012211"/>
    <w:rsid w:val="0DD15673"/>
    <w:rsid w:val="1178209C"/>
    <w:rsid w:val="14811FDB"/>
    <w:rsid w:val="15362A14"/>
    <w:rsid w:val="16320403"/>
    <w:rsid w:val="177B31C6"/>
    <w:rsid w:val="17C75D19"/>
    <w:rsid w:val="1C825970"/>
    <w:rsid w:val="25341AC3"/>
    <w:rsid w:val="335B6566"/>
    <w:rsid w:val="36080D79"/>
    <w:rsid w:val="383E1F2B"/>
    <w:rsid w:val="39A6562D"/>
    <w:rsid w:val="3B017FFA"/>
    <w:rsid w:val="3BB45494"/>
    <w:rsid w:val="3FA63406"/>
    <w:rsid w:val="42D9131A"/>
    <w:rsid w:val="4735348E"/>
    <w:rsid w:val="4CBD44FE"/>
    <w:rsid w:val="50D768FA"/>
    <w:rsid w:val="5AB55DFC"/>
    <w:rsid w:val="5ED17F3C"/>
    <w:rsid w:val="617C17FC"/>
    <w:rsid w:val="69CE159F"/>
    <w:rsid w:val="75B12E32"/>
    <w:rsid w:val="7AD91827"/>
    <w:rsid w:val="7B2F1131"/>
    <w:rsid w:val="7C7F2107"/>
    <w:rsid w:val="7D6C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customStyle="1" w:styleId="2">
    <w:name w:val="1.正文"/>
    <w:basedOn w:val="1"/>
    <w:qFormat/>
    <w:uiPriority w:val="0"/>
  </w:style>
  <w:style w:type="paragraph" w:styleId="3">
    <w:name w:val="Normal Indent"/>
    <w:basedOn w:val="1"/>
    <w:next w:val="1"/>
    <w:qFormat/>
    <w:uiPriority w:val="0"/>
    <w:pPr>
      <w:ind w:firstLine="420" w:firstLineChars="200"/>
      <w:jc w:val="both"/>
    </w:pPr>
    <w:rPr>
      <w:rFonts w:ascii="Calibri" w:hAnsi="Calibri" w:eastAsia="仿宋" w:cs="Times New Roman"/>
      <w:kern w:val="2"/>
      <w:sz w:val="32"/>
    </w:rPr>
  </w:style>
  <w:style w:type="paragraph" w:styleId="4">
    <w:name w:val="Body Text"/>
    <w:basedOn w:val="1"/>
    <w:next w:val="1"/>
    <w:qFormat/>
    <w:uiPriority w:val="1"/>
    <w:rPr>
      <w:rFonts w:ascii="宋体" w:hAnsi="宋体" w:eastAsia="宋体" w:cs="宋体"/>
      <w:sz w:val="32"/>
      <w:szCs w:val="32"/>
    </w:rPr>
  </w:style>
  <w:style w:type="paragraph" w:styleId="5">
    <w:name w:val="Plain Text"/>
    <w:basedOn w:val="1"/>
    <w:qFormat/>
    <w:uiPriority w:val="0"/>
    <w:rPr>
      <w:rFonts w:ascii="宋体" w:hAnsi="Courier New"/>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unhideWhenUsed/>
    <w:qFormat/>
    <w:uiPriority w:val="99"/>
    <w:pPr>
      <w:snapToGrid w:val="0"/>
      <w:jc w:val="left"/>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w:basedOn w:val="4"/>
    <w:next w:val="4"/>
    <w:qFormat/>
    <w:uiPriority w:val="99"/>
    <w:pPr>
      <w:autoSpaceDE w:val="0"/>
      <w:autoSpaceDN w:val="0"/>
      <w:adjustRightInd w:val="0"/>
      <w:spacing w:before="72" w:after="48" w:line="306" w:lineRule="exact"/>
      <w:ind w:firstLine="454"/>
    </w:p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14">
    <w:name w:val="公文主体"/>
    <w:basedOn w:val="1"/>
    <w:unhideWhenUsed/>
    <w:qFormat/>
    <w:uiPriority w:val="0"/>
    <w:pPr>
      <w:spacing w:beforeLines="0" w:afterLines="0" w:line="580" w:lineRule="exact"/>
      <w:ind w:firstLine="200" w:firstLineChars="200"/>
    </w:pPr>
    <w:rPr>
      <w:rFonts w:hint="default" w:ascii="Times New Roman" w:hAnsi="Times New Roman" w:eastAsia="仿宋_GB231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应急管理局</Company>
  <Pages>1</Pages>
  <Words>11712</Words>
  <Characters>11890</Characters>
  <Paragraphs>116</Paragraphs>
  <TotalTime>0</TotalTime>
  <ScaleCrop>false</ScaleCrop>
  <LinksUpToDate>false</LinksUpToDate>
  <CharactersWithSpaces>11909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2019-10-31T16:42:00Z</dcterms:created>
  <dc:creator>Administrator</dc:creator>
  <cp:lastModifiedBy>Administrator</cp:lastModifiedBy>
  <cp:lastPrinted>2024-10-23T08:40:00Z</cp:lastPrinted>
  <dcterms:modified xsi:type="dcterms:W3CDTF">2024-11-01T01:14:30Z</dcterms:modified>
  <dc:title>海沧区人民政府关于下达2019年度安全生产</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173D1EFA7EF7687255CC15677CA9DD07</vt:lpwstr>
  </property>
</Properties>
</file>