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val="zh-CN" w:eastAsia="zh-CN"/>
        </w:rPr>
      </w:pP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val="en-US" w:eastAsia="zh-CN"/>
        </w:rPr>
        <w:t>HC2019C019号政府储备用地</w:t>
      </w: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  <w:lang w:val="zh-CN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 w:cs="华文仿宋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华文仿宋"/>
          <w:color w:val="000000"/>
          <w:kern w:val="0"/>
          <w:sz w:val="44"/>
          <w:szCs w:val="44"/>
        </w:rPr>
        <w:t>土地征收补偿安置方案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HC2019C019号政府储备用地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建设需要，根据我市土地征收有关规定，结合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厦门市海沧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区区域范围内各地块项目的实施方案及本项目的具体情况，特制定征收补偿安置方案如下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一、土地征收补偿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（一）征地补偿标准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按实施时厦门市征地补偿标准给予补偿。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根据《厦门市海沧区被征地人员基本养老保险实施办法（修订）》（厦海委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39号）执行。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地上附着物按厦府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1999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综62号进行补助。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二、住宅房屋征收补偿（补助）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本次土地征收未涉及住宅房屋。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三、非住宅房屋征收补偿（补助）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本次土地征收未涉及非住宅房屋。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四、关于评估机构的选取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按建房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〔2011〕77号、厦价房〔2012〕1号、厦府办〔2016〕220号、厦资源规划函〔2019〕103号的相关规定执行。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五、无合法批建手续的房屋按我市相关征收法律法规执行。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六、本补偿方案未涉及的问题，按我市现行征收的相关法律法规执行。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七、土地房屋征收签约安排计划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2020年9月6日-2020年9月30日。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701" w:left="1588" w:header="851" w:footer="1304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1520C"/>
    <w:rsid w:val="3221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3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2020-08-06T08:41:00Z</dcterms:created>
  <dc:creator>Administrator</dc:creator>
  <cp:lastModifiedBy>Administrator</cp:lastModifiedBy>
  <dcterms:modified xsi:type="dcterms:W3CDTF">2020-08-06T08:42:25Z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