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马銮湾新城东瑶安置房二期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zh-CN" w:eastAsia="zh-CN"/>
        </w:rPr>
        <w:t>项目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  <w:t>土地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(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eastAsia="zh-CN"/>
        </w:rPr>
        <w:t>房屋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  <w:t>征收补偿安置方案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马銮湾新城东瑶安置房二期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建设需要，根据我市土地征收有关规定，结合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厦门市海沧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区区域范围内各地块项目的实施方案及本项目的具体情况，特制定征收补偿安置方案如下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一、土地征收补偿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（一）征地补偿标准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按实施时厦门市征地补偿标准给予补偿。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根据《厦门市海沧区被征地人员基本养老保险实施办法（修订）》（厦海委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地上附着物按厦府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综62号进行补助。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本次土地征收未涉及住宅房屋。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三、非住宅房屋征收补偿（补助）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按我市相关征收法律法规执行。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四、关于评估机构的选取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〔2011〕77号、厦价房〔2012〕1号、厦府办〔2016〕220号、厦资源规划函〔2019〕103号的相关规定执行。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五、无合法批建手续的房屋按我市相关征收法律法规执行。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六、本补偿方案未涉及的问题，按我市现行征收的相关法律法规执行。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七、土地房屋征收签约安排计划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2020年9月6日-2020年9月30日。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22F7"/>
    <w:rsid w:val="590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2020-08-06T08:51:00Z</dcterms:created>
  <dc:creator>Administrator</dc:creator>
  <cp:lastModifiedBy>Administrator</cp:lastModifiedBy>
  <dcterms:modified xsi:type="dcterms:W3CDTF">2020-08-06T08:52:02Z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