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napToGrid/>
        <w:spacing w:line="560" w:lineRule="exact"/>
        <w:ind w:right="0" w:rightChars="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ascii="方正小标宋简体" w:eastAsia="方正小标宋简体" w:cs="华文仿宋"/>
          <w:kern w:val="0"/>
          <w:sz w:val="44"/>
          <w:szCs w:val="44"/>
        </w:rPr>
      </w:pPr>
      <w:r>
        <w:rPr>
          <w:rFonts w:hint="eastAsia" w:ascii="方正小标宋简体" w:eastAsia="方正小标宋简体" w:cs="华文仿宋"/>
          <w:kern w:val="0"/>
          <w:sz w:val="44"/>
          <w:szCs w:val="44"/>
        </w:rPr>
        <w:t>轨道交通</w:t>
      </w:r>
      <w:r>
        <w:rPr>
          <w:rFonts w:ascii="方正小标宋简体" w:eastAsia="方正小标宋简体" w:cs="华文仿宋"/>
          <w:kern w:val="0"/>
          <w:sz w:val="44"/>
          <w:szCs w:val="44"/>
        </w:rPr>
        <w:t>6</w:t>
      </w:r>
      <w:r>
        <w:rPr>
          <w:rFonts w:hint="eastAsia" w:ascii="方正小标宋简体" w:eastAsia="方正小标宋简体" w:cs="华文仿宋"/>
          <w:kern w:val="0"/>
          <w:sz w:val="44"/>
          <w:szCs w:val="44"/>
        </w:rPr>
        <w:t>号线漳州（角美）延伸段工程</w:t>
      </w: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ascii="方正小标宋简体" w:eastAsia="方正小标宋简体" w:cs="华文仿宋"/>
          <w:kern w:val="0"/>
          <w:sz w:val="44"/>
          <w:szCs w:val="44"/>
        </w:rPr>
      </w:pPr>
      <w:r>
        <w:rPr>
          <w:rFonts w:hint="eastAsia" w:ascii="方正小标宋简体" w:eastAsia="方正小标宋简体" w:cs="华文仿宋"/>
          <w:kern w:val="0"/>
          <w:sz w:val="44"/>
          <w:szCs w:val="44"/>
        </w:rPr>
        <w:t>项目</w:t>
      </w:r>
      <w:r>
        <w:rPr>
          <w:rFonts w:hint="eastAsia" w:ascii="方正小标宋简体" w:eastAsia="方正小标宋简体" w:cs="华文仿宋"/>
          <w:kern w:val="0"/>
          <w:sz w:val="44"/>
          <w:szCs w:val="44"/>
          <w:lang w:val="zh-CN"/>
        </w:rPr>
        <w:t>收回国有农场土地</w:t>
      </w:r>
      <w:r>
        <w:rPr>
          <w:rFonts w:hint="eastAsia" w:ascii="方正小标宋简体" w:eastAsia="方正小标宋简体" w:cs="华文仿宋"/>
          <w:kern w:val="0"/>
          <w:sz w:val="44"/>
          <w:szCs w:val="44"/>
        </w:rPr>
        <w:t>补偿安置方案</w:t>
      </w:r>
    </w:p>
    <w:p>
      <w:pPr>
        <w:keepNext w:val="0"/>
        <w:keepLines w:val="0"/>
        <w:pageBreakBefore w:val="0"/>
        <w:kinsoku/>
        <w:wordWrap/>
        <w:overflowPunct/>
        <w:topLinePunct w:val="0"/>
        <w:autoSpaceDE/>
        <w:bidi w:val="0"/>
        <w:adjustRightInd w:val="0"/>
        <w:snapToGrid/>
        <w:spacing w:line="560" w:lineRule="exact"/>
        <w:ind w:right="0" w:rightChars="0"/>
        <w:jc w:val="left"/>
        <w:textAlignment w:val="auto"/>
        <w:rPr>
          <w:rFonts w:ascii="仿宋_GB2312" w:eastAsia="仿宋_GB2312"/>
          <w:sz w:val="32"/>
          <w:szCs w:val="32"/>
        </w:rPr>
      </w:pP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因轨道交通</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号线漳州（角美）延伸段工程项目建设需要，根据我市土地征收有关规定，结合厦门市海沧区区域范围内各地块项目的实施方案及本项目的具体情况，特制定征收补偿安置方案如下：</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一、收回国有</w:t>
      </w:r>
      <w:r>
        <w:rPr>
          <w:rFonts w:hint="eastAsia" w:ascii="黑体" w:hAnsi="黑体" w:eastAsia="黑体" w:cs="黑体"/>
          <w:sz w:val="32"/>
          <w:szCs w:val="32"/>
          <w:lang w:eastAsia="zh-CN"/>
        </w:rPr>
        <w:t>农场土地</w:t>
      </w:r>
      <w:r>
        <w:rPr>
          <w:rFonts w:hint="eastAsia" w:ascii="黑体" w:hAnsi="黑体" w:eastAsia="黑体" w:cs="黑体"/>
          <w:sz w:val="32"/>
          <w:szCs w:val="32"/>
        </w:rPr>
        <w:t>补偿</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（一）收回国有</w:t>
      </w:r>
      <w:r>
        <w:rPr>
          <w:rFonts w:hint="eastAsia" w:ascii="仿宋_GB2312" w:hAnsi="仿宋_GB2312" w:eastAsia="仿宋_GB2312" w:cs="仿宋_GB2312"/>
          <w:sz w:val="32"/>
          <w:szCs w:val="32"/>
          <w:lang w:eastAsia="zh-CN"/>
        </w:rPr>
        <w:t>农场土地</w:t>
      </w:r>
      <w:r>
        <w:rPr>
          <w:rFonts w:hint="eastAsia" w:ascii="仿宋_GB2312" w:hAnsi="仿宋_GB2312" w:eastAsia="仿宋_GB2312" w:cs="仿宋_GB2312"/>
          <w:sz w:val="32"/>
          <w:szCs w:val="32"/>
        </w:rPr>
        <w:t>补偿标准</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参照实施时厦门市征收集体土地补偿标准给予补偿。</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（二）社会保障</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根据《厦门市海沧区被征地人员基本养老保险实施办法（修订）》（厦海委〔</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号）执行。</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（三）地上附着物按《厦门市人民政府关于颁布</w:t>
      </w:r>
      <w:r>
        <w:rPr>
          <w:rFonts w:ascii="仿宋_GB2312" w:hAnsi="仿宋_GB2312" w:eastAsia="仿宋_GB2312" w:cs="仿宋_GB2312"/>
          <w:color w:val="000000"/>
          <w:sz w:val="32"/>
          <w:szCs w:val="32"/>
        </w:rPr>
        <w:t>&lt;</w:t>
      </w:r>
      <w:r>
        <w:rPr>
          <w:rFonts w:hint="eastAsia" w:ascii="仿宋_GB2312" w:hAnsi="仿宋_GB2312" w:eastAsia="仿宋_GB2312" w:cs="仿宋_GB2312"/>
          <w:sz w:val="32"/>
          <w:szCs w:val="32"/>
        </w:rPr>
        <w:t>厦门市征用土地补偿费用标准暂行规定</w:t>
      </w:r>
      <w:r>
        <w:rPr>
          <w:rFonts w:ascii="仿宋_GB2312" w:hAnsi="仿宋_GB2312" w:eastAsia="仿宋_GB2312" w:cs="仿宋_GB2312"/>
          <w:color w:val="000000"/>
          <w:sz w:val="32"/>
          <w:szCs w:val="32"/>
        </w:rPr>
        <w:t>&gt;</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sz w:val="32"/>
          <w:szCs w:val="32"/>
        </w:rPr>
        <w:t>》（厦府</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rPr>
        <w:t>1999</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综</w:t>
      </w:r>
      <w:r>
        <w:rPr>
          <w:rFonts w:ascii="仿宋_GB2312" w:hAnsi="仿宋_GB2312" w:eastAsia="仿宋_GB2312" w:cs="仿宋_GB2312"/>
          <w:sz w:val="32"/>
          <w:szCs w:val="32"/>
        </w:rPr>
        <w:t>062</w:t>
      </w:r>
      <w:r>
        <w:rPr>
          <w:rFonts w:hint="eastAsia" w:ascii="仿宋_GB2312" w:hAnsi="仿宋_GB2312" w:eastAsia="仿宋_GB2312" w:cs="仿宋_GB2312"/>
          <w:sz w:val="32"/>
          <w:szCs w:val="32"/>
        </w:rPr>
        <w:t>号）进行补助。</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二、住宅房屋征收补偿（补助）</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本次收回国有</w:t>
      </w:r>
      <w:r>
        <w:rPr>
          <w:rFonts w:hint="eastAsia" w:ascii="仿宋_GB2312" w:hAnsi="仿宋_GB2312" w:eastAsia="仿宋_GB2312" w:cs="仿宋_GB2312"/>
          <w:sz w:val="32"/>
          <w:szCs w:val="32"/>
          <w:lang w:eastAsia="zh-CN"/>
        </w:rPr>
        <w:t>农场土地</w:t>
      </w:r>
      <w:r>
        <w:rPr>
          <w:rFonts w:hint="eastAsia" w:ascii="仿宋_GB2312" w:hAnsi="仿宋_GB2312" w:eastAsia="仿宋_GB2312" w:cs="仿宋_GB2312"/>
          <w:sz w:val="32"/>
          <w:szCs w:val="32"/>
        </w:rPr>
        <w:t>未涉及住宅房屋。</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三、非住宅房屋征收补偿（补助）</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本次收回国有</w:t>
      </w:r>
      <w:r>
        <w:rPr>
          <w:rFonts w:hint="eastAsia" w:ascii="仿宋_GB2312" w:hAnsi="仿宋_GB2312" w:eastAsia="仿宋_GB2312" w:cs="仿宋_GB2312"/>
          <w:sz w:val="32"/>
          <w:szCs w:val="32"/>
          <w:lang w:eastAsia="zh-CN"/>
        </w:rPr>
        <w:t>农场土地</w:t>
      </w:r>
      <w:r>
        <w:rPr>
          <w:rFonts w:hint="eastAsia" w:ascii="仿宋_GB2312" w:hAnsi="仿宋_GB2312" w:eastAsia="仿宋_GB2312" w:cs="仿宋_GB2312"/>
          <w:sz w:val="32"/>
          <w:szCs w:val="32"/>
        </w:rPr>
        <w:t>未涉及非住宅房屋</w:t>
      </w:r>
      <w:r>
        <w:rPr>
          <w:rFonts w:hint="eastAsia" w:ascii="仿宋_GB2312" w:hAnsi="仿宋_GB2312" w:eastAsia="仿宋_GB2312" w:cs="仿宋_GB2312"/>
          <w:color w:val="000000"/>
          <w:sz w:val="32"/>
          <w:szCs w:val="32"/>
          <w:lang w:val="zh-CN"/>
        </w:rPr>
        <w:t>。</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四、关于评估机构的选取</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按《住房和城乡建设部关于印发</w:t>
      </w:r>
      <w:r>
        <w:rPr>
          <w:rFonts w:ascii="仿宋_GB2312" w:hAnsi="仿宋_GB2312" w:eastAsia="仿宋_GB2312" w:cs="仿宋_GB2312"/>
          <w:color w:val="auto"/>
          <w:sz w:val="32"/>
          <w:szCs w:val="32"/>
          <w:highlight w:val="none"/>
        </w:rPr>
        <w:t>&lt;</w:t>
      </w:r>
      <w:r>
        <w:rPr>
          <w:rFonts w:hint="eastAsia" w:ascii="仿宋_GB2312" w:hAnsi="仿宋_GB2312" w:eastAsia="仿宋_GB2312" w:cs="仿宋_GB2312"/>
          <w:color w:val="auto"/>
          <w:sz w:val="32"/>
          <w:szCs w:val="32"/>
          <w:highlight w:val="none"/>
        </w:rPr>
        <w:t>国有土地上房屋征收评估办法</w:t>
      </w:r>
      <w:r>
        <w:rPr>
          <w:rFonts w:ascii="仿宋_GB2312" w:hAnsi="仿宋_GB2312" w:eastAsia="仿宋_GB2312" w:cs="仿宋_GB2312"/>
          <w:color w:val="auto"/>
          <w:sz w:val="32"/>
          <w:szCs w:val="32"/>
          <w:highlight w:val="none"/>
        </w:rPr>
        <w:t>&gt;</w:t>
      </w:r>
      <w:r>
        <w:rPr>
          <w:rFonts w:hint="eastAsia" w:ascii="仿宋_GB2312" w:hAnsi="仿宋_GB2312" w:eastAsia="仿宋_GB2312" w:cs="仿宋_GB2312"/>
          <w:color w:val="auto"/>
          <w:sz w:val="32"/>
          <w:szCs w:val="32"/>
          <w:highlight w:val="none"/>
        </w:rPr>
        <w:t>的通知》（建房〔</w:t>
      </w:r>
      <w:r>
        <w:rPr>
          <w:rFonts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77</w:t>
      </w:r>
      <w:r>
        <w:rPr>
          <w:rFonts w:hint="eastAsia" w:ascii="仿宋_GB2312" w:hAnsi="仿宋_GB2312" w:eastAsia="仿宋_GB2312" w:cs="仿宋_GB2312"/>
          <w:color w:val="auto"/>
          <w:sz w:val="32"/>
          <w:szCs w:val="32"/>
          <w:highlight w:val="none"/>
        </w:rPr>
        <w:t>号）、《厦门市物价局、厦门市国土资源与房产管理局关于印发厦门市国有土地上房屋征收评估机构推荐办法的通知》（厦价房〔</w:t>
      </w:r>
      <w:r>
        <w:rPr>
          <w:rFonts w:ascii="仿宋_GB2312" w:hAnsi="仿宋_GB2312" w:eastAsia="仿宋_GB2312" w:cs="仿宋_GB2312"/>
          <w:color w:val="auto"/>
          <w:sz w:val="32"/>
          <w:szCs w:val="32"/>
          <w:highlight w:val="none"/>
        </w:rPr>
        <w:t>2012</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号）、《厦门市人民政府办公厅关于印发厦门市集体土地上房屋征收与补偿管理办法的通知（厦府办〔</w:t>
      </w:r>
      <w:r>
        <w:rPr>
          <w:rFonts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220</w:t>
      </w:r>
      <w:r>
        <w:rPr>
          <w:rFonts w:hint="eastAsia" w:ascii="仿宋_GB2312" w:hAnsi="仿宋_GB2312" w:eastAsia="仿宋_GB2312" w:cs="仿宋_GB2312"/>
          <w:color w:val="auto"/>
          <w:sz w:val="32"/>
          <w:szCs w:val="32"/>
          <w:highlight w:val="none"/>
        </w:rPr>
        <w:t>号）、《厦门市自然资源和规划局关于集体土地上房屋征收评估程序的函》（厦资源规划函〔</w:t>
      </w:r>
      <w:r>
        <w:rPr>
          <w:rFonts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103</w:t>
      </w:r>
      <w:r>
        <w:rPr>
          <w:rFonts w:hint="eastAsia" w:ascii="仿宋_GB2312" w:hAnsi="仿宋_GB2312" w:eastAsia="仿宋_GB2312" w:cs="仿宋_GB2312"/>
          <w:color w:val="auto"/>
          <w:sz w:val="32"/>
          <w:szCs w:val="32"/>
          <w:highlight w:val="none"/>
        </w:rPr>
        <w:t>号）的相关规定执行。</w:t>
      </w:r>
    </w:p>
    <w:p>
      <w:pPr>
        <w:keepNext w:val="0"/>
        <w:keepLines w:val="0"/>
        <w:pageBreakBefore w:val="0"/>
        <w:numPr>
          <w:ilvl w:val="0"/>
          <w:numId w:val="1"/>
        </w:numPr>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color w:val="auto"/>
          <w:sz w:val="32"/>
          <w:szCs w:val="32"/>
          <w:highlight w:val="none"/>
        </w:rPr>
        <w:t>无合法批建手续的房屋按我市相关征收法律法</w:t>
      </w:r>
      <w:r>
        <w:rPr>
          <w:rFonts w:hint="eastAsia" w:ascii="黑体" w:hAnsi="黑体" w:eastAsia="黑体" w:cs="黑体"/>
          <w:sz w:val="32"/>
          <w:szCs w:val="32"/>
        </w:rPr>
        <w:t>规执行。</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六、本补偿方案未涉及的问题，按我市现行征收的相关法律法规执行。</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七、土地房屋征收签约安排计划</w:t>
      </w:r>
    </w:p>
    <w:p>
      <w:pPr>
        <w:keepNext w:val="0"/>
        <w:keepLines w:val="0"/>
        <w:pageBreakBefore w:val="0"/>
        <w:kinsoku/>
        <w:wordWrap/>
        <w:overflowPunct/>
        <w:topLinePunct w:val="0"/>
        <w:autoSpaceDE/>
        <w:bidi w:val="0"/>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日-2021年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422" w:firstLineChars="462"/>
        <w:jc w:val="left"/>
        <w:textAlignment w:val="auto"/>
        <w:rPr>
          <w:rFonts w:hint="eastAsia" w:ascii="仿宋_GB2312" w:hAnsi="仿宋_GB2312" w:eastAsia="仿宋_GB2312" w:cs="仿宋_GB2312"/>
          <w:b w:val="0"/>
          <w:bCs w:val="0"/>
          <w:spacing w:val="-6"/>
          <w:kern w:val="0"/>
          <w:sz w:val="32"/>
          <w:szCs w:val="32"/>
          <w:lang w:val="en-US" w:eastAsia="zh-CN"/>
        </w:rPr>
      </w:pPr>
    </w:p>
    <w:p>
      <w:pPr>
        <w:pStyle w:val="2"/>
        <w:keepNext w:val="0"/>
        <w:keepLines w:val="0"/>
        <w:pageBreakBefore w:val="0"/>
        <w:tabs>
          <w:tab w:val="left" w:pos="7770"/>
        </w:tabs>
        <w:kinsoku/>
        <w:wordWrap/>
        <w:overflowPunct/>
        <w:topLinePunct w:val="0"/>
        <w:autoSpaceDE/>
        <w:bidi w:val="0"/>
        <w:snapToGrid/>
        <w:spacing w:line="560" w:lineRule="exact"/>
        <w:ind w:left="0" w:leftChars="0" w:right="0" w:rightChars="0" w:firstLine="0" w:firstLineChars="0"/>
        <w:textAlignment w:val="auto"/>
        <w:outlineLvl w:val="9"/>
        <w:rPr>
          <w:rFonts w:hint="eastAsia"/>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E967"/>
    <w:multiLevelType w:val="singleLevel"/>
    <w:tmpl w:val="1C11E967"/>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84F52"/>
    <w:rsid w:val="6018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c正文"/>
    <w:qFormat/>
    <w:uiPriority w:val="0"/>
    <w:pPr>
      <w:widowControl w:val="0"/>
      <w:spacing w:line="360" w:lineRule="auto"/>
      <w:ind w:firstLine="420" w:firstLineChars="20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2021-01-11T02:10:00Z</dcterms:created>
  <dc:creator>Administrator</dc:creator>
  <cp:lastModifiedBy>Administrator</cp:lastModifiedBy>
  <dcterms:modified xsi:type="dcterms:W3CDTF">2021-01-11T02:10:47Z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