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napToGrid/>
          <w:color w:val="00000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color w:val="000000"/>
          <w:sz w:val="32"/>
          <w:szCs w:val="32"/>
          <w:shd w:val="clear" w:color="auto" w:fill="auto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beforeAutospacing="0" w:after="0" w:afterLines="0" w:afterAutospacing="0" w:line="56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厦门市海沧区人民政府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beforeAutospacing="0" w:after="0" w:afterLines="0" w:afterAutospacing="0" w:line="56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重大行政决策事项目录标准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beforeAutospacing="0" w:after="0" w:afterLines="0" w:afterAutospacing="0" w:line="560" w:lineRule="exact"/>
        <w:ind w:left="0" w:leftChars="0" w:right="0" w:rightChars="0" w:firstLine="640" w:firstLineChars="0"/>
        <w:jc w:val="both"/>
        <w:textAlignment w:val="auto"/>
        <w:outlineLvl w:val="9"/>
        <w:rPr>
          <w:rFonts w:hint="default" w:ascii="仿宋_GB2312" w:hAnsi="仿宋_GB2312" w:eastAsia="仿宋_GB2312" w:cs="仿宋_GB2312"/>
          <w:snapToGrid/>
          <w:sz w:val="32"/>
          <w:szCs w:val="32"/>
          <w:shd w:val="clear" w:color="auto" w:fill="FFFFFF"/>
          <w:lang w:eastAsia="zh-CN"/>
        </w:rPr>
      </w:pP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beforeAutospacing="0" w:after="0" w:afterLines="0" w:afterAutospacing="0" w:line="560" w:lineRule="exact"/>
        <w:ind w:left="0" w:leftChars="0" w:right="0" w:rightChars="0" w:firstLine="640" w:firstLineChars="0"/>
        <w:jc w:val="both"/>
        <w:textAlignment w:val="auto"/>
        <w:outlineLvl w:val="9"/>
        <w:rPr>
          <w:rFonts w:hint="default" w:ascii="仿宋_GB2312" w:hAnsi="仿宋_GB2312" w:eastAsia="仿宋_GB2312" w:cs="仿宋_GB2312"/>
          <w:snapToGrid/>
          <w:sz w:val="32"/>
          <w:szCs w:val="32"/>
          <w:shd w:val="clear" w:color="auto" w:fill="FFFFFF"/>
          <w:lang w:eastAsia="zh-CN"/>
        </w:rPr>
      </w:pPr>
      <w:r>
        <w:rPr>
          <w:rFonts w:hint="default" w:ascii="仿宋_GB2312" w:hAnsi="仿宋_GB2312" w:eastAsia="仿宋_GB2312" w:cs="仿宋_GB2312"/>
          <w:snapToGrid/>
          <w:sz w:val="32"/>
          <w:szCs w:val="32"/>
          <w:shd w:val="clear" w:color="auto" w:fill="FFFFFF"/>
          <w:lang w:eastAsia="zh-CN"/>
        </w:rPr>
        <w:t>为了规范重大行政决策程序，提高决策质量和效率，根据国务院行政法规《重大行政决策程序暂行条例》的相关规定</w:t>
      </w:r>
      <w:r>
        <w:rPr>
          <w:rFonts w:hint="eastAsia" w:ascii="仿宋_GB2312" w:hAnsi="仿宋_GB2312" w:eastAsia="仿宋_GB2312" w:cs="仿宋_GB2312"/>
          <w:snapToGrid/>
          <w:sz w:val="32"/>
          <w:szCs w:val="32"/>
          <w:shd w:val="clear" w:color="auto" w:fill="FFFFFF"/>
          <w:lang w:eastAsia="zh-CN"/>
        </w:rPr>
        <w:t>及《厦</w:t>
      </w:r>
      <w:r>
        <w:rPr>
          <w:rFonts w:hint="default" w:ascii="仿宋_GB2312" w:hAnsi="仿宋_GB2312" w:eastAsia="仿宋_GB2312" w:cs="仿宋_GB2312"/>
          <w:snapToGrid/>
          <w:sz w:val="32"/>
          <w:szCs w:val="32"/>
          <w:shd w:val="clear" w:color="auto" w:fill="FFFFFF"/>
          <w:lang w:eastAsia="zh-CN"/>
        </w:rPr>
        <w:t>门市人民政府重大行政决策事项目录标准</w:t>
      </w:r>
      <w:r>
        <w:rPr>
          <w:rFonts w:hint="eastAsia" w:ascii="仿宋_GB2312" w:hAnsi="仿宋_GB2312" w:eastAsia="仿宋_GB2312" w:cs="仿宋_GB2312"/>
          <w:snapToGrid/>
          <w:sz w:val="32"/>
          <w:szCs w:val="32"/>
          <w:shd w:val="clear" w:color="auto" w:fill="FFFFFF"/>
          <w:lang w:eastAsia="zh-CN"/>
        </w:rPr>
        <w:t>》</w:t>
      </w:r>
      <w:r>
        <w:rPr>
          <w:rFonts w:hint="default" w:ascii="仿宋_GB2312" w:hAnsi="仿宋_GB2312" w:eastAsia="仿宋_GB2312" w:cs="仿宋_GB2312"/>
          <w:snapToGrid/>
          <w:sz w:val="32"/>
          <w:szCs w:val="32"/>
          <w:shd w:val="clear" w:color="auto" w:fill="FFFFFF"/>
          <w:lang w:eastAsia="zh-CN"/>
        </w:rPr>
        <w:t>，经研究，制定厦门市</w:t>
      </w:r>
      <w:r>
        <w:rPr>
          <w:rFonts w:hint="eastAsia" w:ascii="仿宋_GB2312" w:hAnsi="仿宋_GB2312" w:eastAsia="仿宋_GB2312" w:cs="仿宋_GB2312"/>
          <w:snapToGrid/>
          <w:sz w:val="32"/>
          <w:szCs w:val="32"/>
          <w:shd w:val="clear" w:color="auto" w:fill="FFFFFF"/>
          <w:lang w:eastAsia="zh-CN"/>
        </w:rPr>
        <w:t>海沧区</w:t>
      </w:r>
      <w:r>
        <w:rPr>
          <w:rFonts w:hint="default" w:ascii="仿宋_GB2312" w:hAnsi="仿宋_GB2312" w:eastAsia="仿宋_GB2312" w:cs="仿宋_GB2312"/>
          <w:snapToGrid/>
          <w:sz w:val="32"/>
          <w:szCs w:val="32"/>
          <w:shd w:val="clear" w:color="auto" w:fill="FFFFFF"/>
          <w:lang w:eastAsia="zh-CN"/>
        </w:rPr>
        <w:t>人民政府重大行政决策事项目录、标准如下：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beforeAutospacing="0" w:after="0" w:afterLines="0" w:afterAutospacing="0" w:line="560" w:lineRule="exact"/>
        <w:ind w:left="0" w:leftChars="0" w:right="0" w:rightChars="0" w:firstLine="640" w:firstLineChars="0"/>
        <w:jc w:val="both"/>
        <w:textAlignment w:val="auto"/>
        <w:outlineLvl w:val="9"/>
        <w:rPr>
          <w:rFonts w:hint="default" w:ascii="仿宋_GB2312" w:hAnsi="仿宋_GB2312" w:eastAsia="仿宋_GB2312" w:cs="仿宋_GB2312"/>
          <w:snapToGrid/>
          <w:sz w:val="32"/>
          <w:szCs w:val="32"/>
          <w:shd w:val="clear" w:color="auto" w:fill="FFFFFF"/>
          <w:lang w:eastAsia="zh-CN"/>
        </w:rPr>
      </w:pPr>
      <w:r>
        <w:rPr>
          <w:rFonts w:hint="default" w:ascii="仿宋_GB2312" w:hAnsi="仿宋_GB2312" w:eastAsia="仿宋_GB2312" w:cs="仿宋_GB2312"/>
          <w:snapToGrid/>
          <w:sz w:val="32"/>
          <w:szCs w:val="32"/>
          <w:shd w:val="clear" w:color="auto" w:fill="FFFFFF"/>
          <w:lang w:eastAsia="zh-CN"/>
        </w:rPr>
        <w:t>一、涉及全</w:t>
      </w:r>
      <w:r>
        <w:rPr>
          <w:rFonts w:hint="eastAsia" w:ascii="仿宋_GB2312" w:hAnsi="仿宋_GB2312" w:eastAsia="仿宋_GB2312" w:cs="仿宋_GB2312"/>
          <w:snapToGrid/>
          <w:sz w:val="32"/>
          <w:szCs w:val="32"/>
          <w:shd w:val="clear" w:color="auto" w:fill="FFFFFF"/>
          <w:lang w:eastAsia="zh-CN"/>
        </w:rPr>
        <w:t>区</w:t>
      </w:r>
      <w:r>
        <w:rPr>
          <w:rFonts w:hint="default" w:ascii="仿宋_GB2312" w:hAnsi="仿宋_GB2312" w:eastAsia="仿宋_GB2312" w:cs="仿宋_GB2312"/>
          <w:snapToGrid/>
          <w:sz w:val="32"/>
          <w:szCs w:val="32"/>
          <w:shd w:val="clear" w:color="auto" w:fill="FFFFFF"/>
          <w:lang w:eastAsia="zh-CN"/>
        </w:rPr>
        <w:t>的有关公共服务、市场监管、社会管理、环境保护等方面的重大公共政策和措施，包括：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beforeAutospacing="0" w:after="0" w:afterLines="0" w:afterAutospacing="0" w:line="560" w:lineRule="exact"/>
        <w:ind w:left="0" w:leftChars="0" w:right="0" w:rightChars="0" w:firstLine="640" w:firstLineChars="0"/>
        <w:jc w:val="both"/>
        <w:textAlignment w:val="auto"/>
        <w:outlineLvl w:val="9"/>
        <w:rPr>
          <w:rFonts w:hint="default" w:ascii="仿宋_GB2312" w:hAnsi="仿宋_GB2312" w:eastAsia="仿宋_GB2312" w:cs="仿宋_GB2312"/>
          <w:snapToGrid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snapToGrid/>
          <w:sz w:val="32"/>
          <w:szCs w:val="32"/>
          <w:shd w:val="clear" w:color="auto" w:fill="FFFFFF"/>
          <w:lang w:eastAsia="zh-CN"/>
        </w:rPr>
        <w:t>（一）</w:t>
      </w:r>
      <w:r>
        <w:rPr>
          <w:rFonts w:hint="default" w:ascii="仿宋_GB2312" w:hAnsi="仿宋_GB2312" w:eastAsia="仿宋_GB2312" w:cs="仿宋_GB2312"/>
          <w:snapToGrid/>
          <w:sz w:val="32"/>
          <w:szCs w:val="32"/>
          <w:shd w:val="clear" w:color="auto" w:fill="FFFFFF"/>
          <w:lang w:eastAsia="zh-CN"/>
        </w:rPr>
        <w:t>社会保障、住房保障、医疗卫生、劳动就业、教育、文化、养老等方面的；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beforeAutospacing="0" w:after="0" w:afterLines="0" w:afterAutospacing="0" w:line="560" w:lineRule="exact"/>
        <w:ind w:left="0" w:leftChars="0" w:right="0" w:rightChars="0" w:firstLine="640" w:firstLineChars="0"/>
        <w:jc w:val="both"/>
        <w:textAlignment w:val="auto"/>
        <w:outlineLvl w:val="9"/>
        <w:rPr>
          <w:rFonts w:hint="default" w:ascii="仿宋_GB2312" w:hAnsi="仿宋_GB2312" w:eastAsia="仿宋_GB2312" w:cs="仿宋_GB2312"/>
          <w:snapToGrid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snapToGrid/>
          <w:sz w:val="32"/>
          <w:szCs w:val="32"/>
          <w:shd w:val="clear" w:color="auto" w:fill="FFFFFF"/>
          <w:lang w:eastAsia="zh-CN"/>
        </w:rPr>
        <w:t>（二）</w:t>
      </w:r>
      <w:r>
        <w:rPr>
          <w:rFonts w:hint="default" w:ascii="仿宋_GB2312" w:hAnsi="仿宋_GB2312" w:eastAsia="仿宋_GB2312" w:cs="仿宋_GB2312"/>
          <w:snapToGrid/>
          <w:sz w:val="32"/>
          <w:szCs w:val="32"/>
          <w:shd w:val="clear" w:color="auto" w:fill="FFFFFF"/>
          <w:lang w:eastAsia="zh-CN"/>
        </w:rPr>
        <w:t>商事制度改革、食品药品安全等方面的；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beforeAutospacing="0" w:after="0" w:afterLines="0" w:afterAutospacing="0" w:line="560" w:lineRule="exact"/>
        <w:ind w:left="0" w:leftChars="0" w:right="0" w:rightChars="0" w:firstLine="640" w:firstLineChars="0"/>
        <w:jc w:val="both"/>
        <w:textAlignment w:val="auto"/>
        <w:outlineLvl w:val="9"/>
        <w:rPr>
          <w:rFonts w:hint="default" w:ascii="仿宋_GB2312" w:hAnsi="仿宋_GB2312" w:eastAsia="仿宋_GB2312" w:cs="仿宋_GB2312"/>
          <w:snapToGrid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snapToGrid/>
          <w:sz w:val="32"/>
          <w:szCs w:val="32"/>
          <w:shd w:val="clear" w:color="auto" w:fill="FFFFFF"/>
          <w:lang w:eastAsia="zh-CN"/>
        </w:rPr>
        <w:t>（三）</w:t>
      </w:r>
      <w:r>
        <w:rPr>
          <w:rFonts w:hint="default" w:ascii="仿宋_GB2312" w:hAnsi="仿宋_GB2312" w:eastAsia="仿宋_GB2312" w:cs="仿宋_GB2312"/>
          <w:snapToGrid/>
          <w:sz w:val="32"/>
          <w:szCs w:val="32"/>
          <w:shd w:val="clear" w:color="auto" w:fill="FFFFFF"/>
          <w:lang w:eastAsia="zh-CN"/>
        </w:rPr>
        <w:t>公共安全、安全生产、交通运输等方面的；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beforeAutospacing="0" w:after="0" w:afterLines="0" w:afterAutospacing="0" w:line="560" w:lineRule="exact"/>
        <w:ind w:left="0" w:leftChars="0" w:right="0" w:rightChars="0" w:firstLine="640" w:firstLineChars="0"/>
        <w:jc w:val="both"/>
        <w:textAlignment w:val="auto"/>
        <w:outlineLvl w:val="9"/>
        <w:rPr>
          <w:rFonts w:hint="default" w:ascii="仿宋_GB2312" w:hAnsi="仿宋_GB2312" w:eastAsia="仿宋_GB2312" w:cs="仿宋_GB2312"/>
          <w:snapToGrid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snapToGrid/>
          <w:sz w:val="32"/>
          <w:szCs w:val="32"/>
          <w:shd w:val="clear" w:color="auto" w:fill="FFFFFF"/>
          <w:lang w:eastAsia="zh-CN"/>
        </w:rPr>
        <w:t>（四）</w:t>
      </w:r>
      <w:r>
        <w:rPr>
          <w:rFonts w:hint="default" w:ascii="仿宋_GB2312" w:hAnsi="仿宋_GB2312" w:eastAsia="仿宋_GB2312" w:cs="仿宋_GB2312"/>
          <w:snapToGrid/>
          <w:sz w:val="32"/>
          <w:szCs w:val="32"/>
          <w:shd w:val="clear" w:color="auto" w:fill="FFFFFF"/>
          <w:lang w:eastAsia="zh-CN"/>
        </w:rPr>
        <w:t>生态环境保护和治理等方面的。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beforeAutospacing="0" w:after="0" w:afterLines="0" w:afterAutospacing="0" w:line="560" w:lineRule="exact"/>
        <w:ind w:left="0" w:leftChars="0" w:right="0" w:rightChars="0" w:firstLine="640" w:firstLineChars="0"/>
        <w:jc w:val="both"/>
        <w:textAlignment w:val="auto"/>
        <w:outlineLvl w:val="9"/>
        <w:rPr>
          <w:rFonts w:hint="default" w:ascii="仿宋_GB2312" w:hAnsi="仿宋_GB2312" w:eastAsia="仿宋_GB2312" w:cs="仿宋_GB2312"/>
          <w:snapToGrid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snapToGrid/>
          <w:sz w:val="32"/>
          <w:szCs w:val="32"/>
          <w:shd w:val="clear" w:color="auto" w:fill="FFFFFF"/>
          <w:lang w:eastAsia="zh-CN"/>
        </w:rPr>
        <w:t>二、</w:t>
      </w:r>
      <w:r>
        <w:rPr>
          <w:rFonts w:hint="default" w:ascii="仿宋_GB2312" w:hAnsi="仿宋_GB2312" w:eastAsia="仿宋_GB2312" w:cs="仿宋_GB2312"/>
          <w:snapToGrid/>
          <w:sz w:val="32"/>
          <w:szCs w:val="32"/>
          <w:shd w:val="clear" w:color="auto" w:fill="FFFFFF"/>
          <w:lang w:eastAsia="zh-CN"/>
        </w:rPr>
        <w:t>涉及全</w:t>
      </w:r>
      <w:r>
        <w:rPr>
          <w:rFonts w:hint="eastAsia" w:ascii="仿宋_GB2312" w:hAnsi="仿宋_GB2312" w:eastAsia="仿宋_GB2312" w:cs="仿宋_GB2312"/>
          <w:snapToGrid/>
          <w:sz w:val="32"/>
          <w:szCs w:val="32"/>
          <w:shd w:val="clear" w:color="auto" w:fill="FFFFFF"/>
          <w:lang w:eastAsia="zh-CN"/>
        </w:rPr>
        <w:t>区</w:t>
      </w:r>
      <w:r>
        <w:rPr>
          <w:rFonts w:hint="default" w:ascii="仿宋_GB2312" w:hAnsi="仿宋_GB2312" w:eastAsia="仿宋_GB2312" w:cs="仿宋_GB2312"/>
          <w:snapToGrid/>
          <w:sz w:val="32"/>
          <w:szCs w:val="32"/>
          <w:shd w:val="clear" w:color="auto" w:fill="FFFFFF"/>
          <w:lang w:eastAsia="zh-CN"/>
        </w:rPr>
        <w:t>经济和社会发展等方面的重要规划，包括：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beforeAutospacing="0" w:after="0" w:afterLines="0" w:afterAutospacing="0" w:line="560" w:lineRule="exact"/>
        <w:ind w:left="0" w:leftChars="0" w:right="0" w:rightChars="0" w:firstLine="640" w:firstLineChars="0"/>
        <w:jc w:val="both"/>
        <w:textAlignment w:val="auto"/>
        <w:outlineLvl w:val="9"/>
        <w:rPr>
          <w:rFonts w:hint="default" w:ascii="仿宋_GB2312" w:hAnsi="仿宋_GB2312" w:eastAsia="仿宋_GB2312" w:cs="仿宋_GB2312"/>
          <w:snapToGrid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snapToGrid/>
          <w:sz w:val="32"/>
          <w:szCs w:val="32"/>
          <w:shd w:val="clear" w:color="auto" w:fill="FFFFFF"/>
          <w:lang w:eastAsia="zh-CN"/>
        </w:rPr>
        <w:t>（一）</w:t>
      </w:r>
      <w:r>
        <w:rPr>
          <w:rFonts w:hint="default" w:ascii="仿宋_GB2312" w:hAnsi="仿宋_GB2312" w:eastAsia="仿宋_GB2312" w:cs="仿宋_GB2312"/>
          <w:snapToGrid/>
          <w:sz w:val="32"/>
          <w:szCs w:val="32"/>
          <w:shd w:val="clear" w:color="auto" w:fill="FFFFFF"/>
          <w:lang w:eastAsia="zh-CN"/>
        </w:rPr>
        <w:t>国民经济和社会发展规划；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beforeAutospacing="0" w:after="0" w:afterLines="0" w:afterAutospacing="0" w:line="560" w:lineRule="exact"/>
        <w:ind w:left="0" w:leftChars="0" w:right="0" w:rightChars="0" w:firstLine="640" w:firstLineChars="0"/>
        <w:jc w:val="both"/>
        <w:textAlignment w:val="auto"/>
        <w:outlineLvl w:val="9"/>
        <w:rPr>
          <w:rFonts w:hint="default" w:ascii="仿宋_GB2312" w:hAnsi="仿宋_GB2312" w:eastAsia="仿宋_GB2312" w:cs="仿宋_GB2312"/>
          <w:snapToGrid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snapToGrid/>
          <w:sz w:val="32"/>
          <w:szCs w:val="32"/>
          <w:shd w:val="clear" w:color="auto" w:fill="FFFFFF"/>
          <w:lang w:eastAsia="zh-CN"/>
        </w:rPr>
        <w:t>（二）</w:t>
      </w:r>
      <w:r>
        <w:rPr>
          <w:rFonts w:hint="default" w:ascii="仿宋_GB2312" w:hAnsi="仿宋_GB2312" w:eastAsia="仿宋_GB2312" w:cs="仿宋_GB2312"/>
          <w:snapToGrid/>
          <w:sz w:val="32"/>
          <w:szCs w:val="32"/>
          <w:shd w:val="clear" w:color="auto" w:fill="FFFFFF"/>
          <w:lang w:eastAsia="zh-CN"/>
        </w:rPr>
        <w:t>国土空间规划；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beforeAutospacing="0" w:after="0" w:afterLines="0" w:afterAutospacing="0" w:line="560" w:lineRule="exact"/>
        <w:ind w:left="0" w:leftChars="0" w:right="0" w:rightChars="0" w:firstLine="640" w:firstLineChars="0"/>
        <w:jc w:val="both"/>
        <w:textAlignment w:val="auto"/>
        <w:outlineLvl w:val="9"/>
        <w:rPr>
          <w:rFonts w:hint="default" w:ascii="仿宋_GB2312" w:hAnsi="仿宋_GB2312" w:eastAsia="仿宋_GB2312" w:cs="仿宋_GB2312"/>
          <w:snapToGrid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snapToGrid/>
          <w:sz w:val="32"/>
          <w:szCs w:val="32"/>
          <w:shd w:val="clear" w:color="auto" w:fill="FFFFFF"/>
          <w:lang w:eastAsia="zh-CN"/>
        </w:rPr>
        <w:t>（三）</w:t>
      </w:r>
      <w:r>
        <w:rPr>
          <w:rFonts w:hint="default" w:ascii="仿宋_GB2312" w:hAnsi="仿宋_GB2312" w:eastAsia="仿宋_GB2312" w:cs="仿宋_GB2312"/>
          <w:snapToGrid/>
          <w:sz w:val="32"/>
          <w:szCs w:val="32"/>
          <w:shd w:val="clear" w:color="auto" w:fill="FFFFFF"/>
          <w:lang w:eastAsia="zh-CN"/>
        </w:rPr>
        <w:t>生态环境保护、产业发展等专项规划；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beforeAutospacing="0" w:after="0" w:afterLines="0" w:afterAutospacing="0" w:line="560" w:lineRule="exact"/>
        <w:ind w:left="0" w:leftChars="0" w:right="0" w:rightChars="0" w:firstLine="640" w:firstLineChars="0"/>
        <w:jc w:val="both"/>
        <w:textAlignment w:val="auto"/>
        <w:outlineLvl w:val="9"/>
        <w:rPr>
          <w:rFonts w:hint="default" w:ascii="仿宋_GB2312" w:hAnsi="仿宋_GB2312" w:eastAsia="仿宋_GB2312" w:cs="仿宋_GB2312"/>
          <w:snapToGrid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snapToGrid/>
          <w:sz w:val="32"/>
          <w:szCs w:val="32"/>
          <w:shd w:val="clear" w:color="auto" w:fill="FFFFFF"/>
          <w:lang w:eastAsia="zh-CN"/>
        </w:rPr>
        <w:t>（四）</w:t>
      </w:r>
      <w:r>
        <w:rPr>
          <w:rFonts w:hint="default" w:ascii="仿宋_GB2312" w:hAnsi="仿宋_GB2312" w:eastAsia="仿宋_GB2312" w:cs="仿宋_GB2312"/>
          <w:snapToGrid/>
          <w:sz w:val="32"/>
          <w:szCs w:val="32"/>
          <w:shd w:val="clear" w:color="auto" w:fill="FFFFFF"/>
          <w:lang w:eastAsia="zh-CN"/>
        </w:rPr>
        <w:t>其他涉及重大公共利益的规划。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beforeAutospacing="0" w:after="0" w:afterLines="0" w:afterAutospacing="0" w:line="560" w:lineRule="exact"/>
        <w:ind w:left="0" w:leftChars="0" w:right="0" w:rightChars="0" w:firstLine="640" w:firstLineChars="0"/>
        <w:jc w:val="both"/>
        <w:textAlignment w:val="auto"/>
        <w:outlineLvl w:val="9"/>
        <w:rPr>
          <w:rFonts w:hint="default" w:ascii="仿宋_GB2312" w:hAnsi="仿宋_GB2312" w:eastAsia="仿宋_GB2312" w:cs="仿宋_GB2312"/>
          <w:snapToGrid/>
          <w:sz w:val="32"/>
          <w:szCs w:val="32"/>
          <w:shd w:val="clear" w:color="auto" w:fill="FFFFFF"/>
          <w:lang w:eastAsia="zh-CN"/>
        </w:rPr>
      </w:pPr>
      <w:r>
        <w:rPr>
          <w:rFonts w:hint="default" w:ascii="仿宋_GB2312" w:hAnsi="仿宋_GB2312" w:eastAsia="仿宋_GB2312" w:cs="仿宋_GB2312"/>
          <w:snapToGrid/>
          <w:sz w:val="32"/>
          <w:szCs w:val="32"/>
          <w:shd w:val="clear" w:color="auto" w:fill="FFFFFF"/>
          <w:lang w:eastAsia="zh-CN"/>
        </w:rPr>
        <w:t>三、涉及重要自然资源和文化资源的开发利用、保护等方面的重大公共政策和措施，包括：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beforeAutospacing="0" w:after="0" w:afterLines="0" w:afterAutospacing="0" w:line="560" w:lineRule="exact"/>
        <w:ind w:left="0" w:leftChars="0" w:right="0" w:rightChars="0" w:firstLine="640" w:firstLineChars="0"/>
        <w:jc w:val="both"/>
        <w:textAlignment w:val="auto"/>
        <w:outlineLvl w:val="9"/>
        <w:rPr>
          <w:rFonts w:hint="default" w:ascii="仿宋_GB2312" w:hAnsi="仿宋_GB2312" w:eastAsia="仿宋_GB2312" w:cs="仿宋_GB2312"/>
          <w:snapToGrid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snapToGrid/>
          <w:sz w:val="32"/>
          <w:szCs w:val="32"/>
          <w:shd w:val="clear" w:color="auto" w:fill="FFFFFF"/>
          <w:lang w:eastAsia="zh-CN"/>
        </w:rPr>
        <w:t>（一）</w:t>
      </w:r>
      <w:r>
        <w:rPr>
          <w:rFonts w:hint="default" w:ascii="仿宋_GB2312" w:hAnsi="仿宋_GB2312" w:eastAsia="仿宋_GB2312" w:cs="仿宋_GB2312"/>
          <w:snapToGrid/>
          <w:sz w:val="32"/>
          <w:szCs w:val="32"/>
          <w:shd w:val="clear" w:color="auto" w:fill="FFFFFF"/>
          <w:lang w:eastAsia="zh-CN"/>
        </w:rPr>
        <w:t>世界文化遗产地保护方面的；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beforeAutospacing="0" w:after="0" w:afterLines="0" w:afterAutospacing="0" w:line="560" w:lineRule="exact"/>
        <w:ind w:left="0" w:leftChars="0" w:right="0" w:rightChars="0" w:firstLine="640" w:firstLineChars="0"/>
        <w:jc w:val="both"/>
        <w:textAlignment w:val="auto"/>
        <w:outlineLvl w:val="9"/>
        <w:rPr>
          <w:rFonts w:hint="default" w:ascii="仿宋_GB2312" w:hAnsi="仿宋_GB2312" w:eastAsia="仿宋_GB2312" w:cs="仿宋_GB2312"/>
          <w:snapToGrid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snapToGrid/>
          <w:sz w:val="32"/>
          <w:szCs w:val="32"/>
          <w:shd w:val="clear" w:color="auto" w:fill="FFFFFF"/>
          <w:lang w:eastAsia="zh-CN"/>
        </w:rPr>
        <w:t>（二）</w:t>
      </w:r>
      <w:r>
        <w:rPr>
          <w:rFonts w:hint="default" w:ascii="仿宋_GB2312" w:hAnsi="仿宋_GB2312" w:eastAsia="仿宋_GB2312" w:cs="仿宋_GB2312"/>
          <w:snapToGrid/>
          <w:sz w:val="32"/>
          <w:szCs w:val="32"/>
          <w:shd w:val="clear" w:color="auto" w:fill="FFFFFF"/>
          <w:lang w:eastAsia="zh-CN"/>
        </w:rPr>
        <w:t>国家级、省级风景名胜区保护开发方面的；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beforeAutospacing="0" w:after="0" w:afterLines="0" w:afterAutospacing="0" w:line="560" w:lineRule="exact"/>
        <w:ind w:left="0" w:leftChars="0" w:right="0" w:rightChars="0" w:firstLine="640" w:firstLineChars="0"/>
        <w:jc w:val="both"/>
        <w:textAlignment w:val="auto"/>
        <w:outlineLvl w:val="9"/>
        <w:rPr>
          <w:rFonts w:hint="default" w:ascii="仿宋_GB2312" w:hAnsi="仿宋_GB2312" w:eastAsia="仿宋_GB2312" w:cs="仿宋_GB2312"/>
          <w:snapToGrid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snapToGrid/>
          <w:sz w:val="32"/>
          <w:szCs w:val="32"/>
          <w:shd w:val="clear" w:color="auto" w:fill="FFFFFF"/>
          <w:lang w:eastAsia="zh-CN"/>
        </w:rPr>
        <w:t>（三）</w:t>
      </w:r>
      <w:r>
        <w:rPr>
          <w:rFonts w:hint="default" w:ascii="仿宋_GB2312" w:hAnsi="仿宋_GB2312" w:eastAsia="仿宋_GB2312" w:cs="仿宋_GB2312"/>
          <w:snapToGrid/>
          <w:sz w:val="32"/>
          <w:szCs w:val="32"/>
          <w:shd w:val="clear" w:color="auto" w:fill="FFFFFF"/>
          <w:lang w:eastAsia="zh-CN"/>
        </w:rPr>
        <w:t>其他重要的土地、海域、山林、水资源等自然资源开发利用、保护方面的。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beforeAutospacing="0" w:after="0" w:afterLines="0" w:afterAutospacing="0" w:line="560" w:lineRule="exact"/>
        <w:ind w:left="0" w:leftChars="0" w:right="0" w:rightChars="0" w:firstLine="640" w:firstLineChars="0"/>
        <w:jc w:val="both"/>
        <w:textAlignment w:val="auto"/>
        <w:outlineLvl w:val="9"/>
        <w:rPr>
          <w:rFonts w:hint="default" w:ascii="仿宋_GB2312" w:hAnsi="仿宋_GB2312" w:eastAsia="仿宋_GB2312" w:cs="仿宋_GB2312"/>
          <w:snapToGrid/>
          <w:sz w:val="32"/>
          <w:szCs w:val="32"/>
          <w:shd w:val="clear" w:color="auto" w:fill="FFFFFF"/>
          <w:lang w:eastAsia="zh-CN"/>
        </w:rPr>
      </w:pPr>
      <w:r>
        <w:rPr>
          <w:rFonts w:hint="default" w:ascii="仿宋_GB2312" w:hAnsi="仿宋_GB2312" w:eastAsia="仿宋_GB2312" w:cs="仿宋_GB2312"/>
          <w:snapToGrid/>
          <w:sz w:val="32"/>
          <w:szCs w:val="32"/>
          <w:shd w:val="clear" w:color="auto" w:fill="FFFFFF"/>
          <w:lang w:eastAsia="zh-CN"/>
        </w:rPr>
        <w:t>四、需由</w:t>
      </w:r>
      <w:r>
        <w:rPr>
          <w:rFonts w:hint="eastAsia" w:ascii="仿宋_GB2312" w:hAnsi="仿宋_GB2312" w:eastAsia="仿宋_GB2312" w:cs="仿宋_GB2312"/>
          <w:snapToGrid/>
          <w:sz w:val="32"/>
          <w:szCs w:val="32"/>
          <w:shd w:val="clear" w:color="auto" w:fill="FFFFFF"/>
          <w:lang w:eastAsia="zh-CN"/>
        </w:rPr>
        <w:t>区</w:t>
      </w:r>
      <w:r>
        <w:rPr>
          <w:rFonts w:hint="default" w:ascii="仿宋_GB2312" w:hAnsi="仿宋_GB2312" w:eastAsia="仿宋_GB2312" w:cs="仿宋_GB2312"/>
          <w:snapToGrid/>
          <w:sz w:val="32"/>
          <w:szCs w:val="32"/>
          <w:shd w:val="clear" w:color="auto" w:fill="FFFFFF"/>
          <w:lang w:eastAsia="zh-CN"/>
        </w:rPr>
        <w:t>政府常务会议研究的涉及重大公共利益的</w:t>
      </w:r>
      <w:r>
        <w:rPr>
          <w:rFonts w:hint="eastAsia" w:ascii="仿宋_GB2312" w:hAnsi="仿宋_GB2312" w:eastAsia="仿宋_GB2312" w:cs="仿宋_GB2312"/>
          <w:snapToGrid/>
          <w:sz w:val="32"/>
          <w:szCs w:val="32"/>
          <w:shd w:val="clear" w:color="auto" w:fill="FFFFFF"/>
          <w:lang w:eastAsia="zh-CN"/>
        </w:rPr>
        <w:t>区</w:t>
      </w:r>
      <w:r>
        <w:rPr>
          <w:rFonts w:hint="default" w:ascii="仿宋_GB2312" w:hAnsi="仿宋_GB2312" w:eastAsia="仿宋_GB2312" w:cs="仿宋_GB2312"/>
          <w:snapToGrid/>
          <w:sz w:val="32"/>
          <w:szCs w:val="32"/>
          <w:shd w:val="clear" w:color="auto" w:fill="FFFFFF"/>
          <w:lang w:eastAsia="zh-CN"/>
        </w:rPr>
        <w:t>级以上重点公共建设项目。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beforeAutospacing="0" w:after="0" w:afterLines="0" w:afterAutospacing="0" w:line="560" w:lineRule="exact"/>
        <w:ind w:left="0" w:leftChars="0" w:right="0" w:rightChars="0" w:firstLine="640" w:firstLineChars="0"/>
        <w:jc w:val="both"/>
        <w:textAlignment w:val="auto"/>
        <w:outlineLvl w:val="9"/>
        <w:rPr>
          <w:rFonts w:hint="default" w:ascii="仿宋_GB2312" w:hAnsi="仿宋_GB2312" w:eastAsia="仿宋_GB2312" w:cs="仿宋_GB2312"/>
          <w:snapToGrid/>
          <w:sz w:val="32"/>
          <w:szCs w:val="32"/>
          <w:shd w:val="clear" w:color="auto" w:fill="FFFFFF"/>
          <w:lang w:eastAsia="zh-CN"/>
        </w:rPr>
      </w:pPr>
      <w:r>
        <w:rPr>
          <w:rFonts w:hint="default" w:ascii="仿宋_GB2312" w:hAnsi="仿宋_GB2312" w:eastAsia="仿宋_GB2312" w:cs="仿宋_GB2312"/>
          <w:snapToGrid/>
          <w:sz w:val="32"/>
          <w:szCs w:val="32"/>
          <w:shd w:val="clear" w:color="auto" w:fill="FFFFFF"/>
          <w:lang w:eastAsia="zh-CN"/>
        </w:rPr>
        <w:t>五、实行政府定价，且影响国计民生的重大公用事业、公益性服务价格的确定和调整。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beforeAutospacing="0" w:after="0" w:afterLines="0" w:afterAutospacing="0" w:line="560" w:lineRule="exact"/>
        <w:ind w:left="0" w:leftChars="0" w:right="0" w:rightChars="0" w:firstLine="640" w:firstLineChars="0"/>
        <w:jc w:val="both"/>
        <w:textAlignment w:val="auto"/>
        <w:outlineLvl w:val="9"/>
        <w:rPr>
          <w:rFonts w:hint="default" w:ascii="仿宋_GB2312" w:hAnsi="仿宋_GB2312" w:eastAsia="仿宋_GB2312" w:cs="仿宋_GB2312"/>
          <w:snapToGrid/>
          <w:sz w:val="32"/>
          <w:szCs w:val="32"/>
          <w:shd w:val="clear" w:color="auto" w:fill="FFFFFF"/>
          <w:lang w:eastAsia="zh-CN"/>
        </w:rPr>
      </w:pPr>
      <w:r>
        <w:rPr>
          <w:rFonts w:hint="default" w:ascii="仿宋_GB2312" w:hAnsi="仿宋_GB2312" w:eastAsia="仿宋_GB2312" w:cs="仿宋_GB2312"/>
          <w:snapToGrid/>
          <w:sz w:val="32"/>
          <w:szCs w:val="32"/>
          <w:shd w:val="clear" w:color="auto" w:fill="FFFFFF"/>
          <w:lang w:eastAsia="zh-CN"/>
        </w:rPr>
        <w:t>六、对全</w:t>
      </w:r>
      <w:r>
        <w:rPr>
          <w:rFonts w:hint="eastAsia" w:ascii="仿宋_GB2312" w:hAnsi="仿宋_GB2312" w:eastAsia="仿宋_GB2312" w:cs="仿宋_GB2312"/>
          <w:snapToGrid/>
          <w:sz w:val="32"/>
          <w:szCs w:val="32"/>
          <w:shd w:val="clear" w:color="auto" w:fill="FFFFFF"/>
          <w:lang w:eastAsia="zh-CN"/>
        </w:rPr>
        <w:t>区</w:t>
      </w:r>
      <w:r>
        <w:rPr>
          <w:rFonts w:hint="default" w:ascii="仿宋_GB2312" w:hAnsi="仿宋_GB2312" w:eastAsia="仿宋_GB2312" w:cs="仿宋_GB2312"/>
          <w:snapToGrid/>
          <w:sz w:val="32"/>
          <w:szCs w:val="32"/>
          <w:shd w:val="clear" w:color="auto" w:fill="FFFFFF"/>
          <w:lang w:eastAsia="zh-CN"/>
        </w:rPr>
        <w:t>经济社会发展有重大影响、涉及重大公共利益或者社会公众切身利益的其他重大事项。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beforeAutospacing="0" w:after="0" w:afterLines="0" w:afterAutospacing="0" w:line="560" w:lineRule="exact"/>
        <w:ind w:left="0" w:leftChars="0" w:right="0" w:rightChars="0" w:firstLine="640" w:firstLineChars="0"/>
        <w:jc w:val="both"/>
        <w:textAlignment w:val="auto"/>
        <w:outlineLvl w:val="9"/>
        <w:rPr>
          <w:rFonts w:hint="default" w:ascii="仿宋_GB2312" w:hAnsi="仿宋_GB2312" w:eastAsia="仿宋_GB2312" w:cs="仿宋_GB2312"/>
          <w:snapToGrid/>
          <w:sz w:val="32"/>
          <w:szCs w:val="32"/>
          <w:shd w:val="clear" w:color="auto" w:fill="FFFFFF"/>
          <w:lang w:eastAsia="zh-CN"/>
        </w:rPr>
      </w:pPr>
      <w:r>
        <w:rPr>
          <w:rFonts w:hint="default" w:ascii="仿宋_GB2312" w:hAnsi="仿宋_GB2312" w:eastAsia="仿宋_GB2312" w:cs="仿宋_GB2312"/>
          <w:snapToGrid/>
          <w:sz w:val="32"/>
          <w:szCs w:val="32"/>
          <w:shd w:val="clear" w:color="auto" w:fill="FFFFFF"/>
          <w:lang w:eastAsia="zh-CN"/>
        </w:rPr>
        <w:t>本目录、标准自9月1日起施行。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beforeAutospacing="0" w:after="0" w:afterLines="0" w:afterAutospacing="0" w:line="560" w:lineRule="exact"/>
        <w:ind w:left="0" w:leftChars="0" w:right="0" w:rightChars="0" w:firstLine="640" w:firstLineChars="0"/>
        <w:jc w:val="both"/>
        <w:textAlignment w:val="auto"/>
        <w:outlineLvl w:val="9"/>
        <w:rPr>
          <w:rFonts w:hint="default" w:ascii="仿宋_GB2312" w:hAnsi="仿宋_GB2312" w:eastAsia="仿宋_GB2312" w:cs="仿宋_GB2312"/>
          <w:snapToGrid/>
          <w:sz w:val="32"/>
          <w:szCs w:val="32"/>
          <w:shd w:val="clear" w:color="auto" w:fill="FFFFFF"/>
          <w:lang w:eastAsia="zh-CN"/>
        </w:rPr>
        <w:sectPr>
          <w:footerReference r:id="rId3" w:type="default"/>
          <w:pgSz w:w="11906" w:h="16838"/>
          <w:pgMar w:top="2098" w:right="1474" w:bottom="1984" w:left="1587" w:header="851" w:footer="1587" w:gutter="0"/>
          <w:pgNumType w:fmt="numberInDash"/>
          <w:cols w:space="720" w:num="1"/>
          <w:rtlGutter w:val="0"/>
          <w:docGrid w:type="lines" w:linePitch="318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仿宋_GB2312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仿宋_GB2312"/>
                        <w:sz w:val="18"/>
                        <w:lang w:eastAsia="zh-CN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9B2BED"/>
    <w:rsid w:val="799B2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区政府办公室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2020-01-07T01:34:00Z</dcterms:created>
  <dc:creator>陈</dc:creator>
  <cp:lastModifiedBy>陈</cp:lastModifiedBy>
  <dcterms:modified xsi:type="dcterms:W3CDTF">2020-01-07T01:36:12Z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