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shd w:val="clear" w:color="auto" w:fill="FFFFFF"/>
        </w:rPr>
        <w:t>附件2</w:t>
      </w:r>
    </w:p>
    <w:p>
      <w:pPr>
        <w:pStyle w:val="2"/>
        <w:rPr>
          <w:rFonts w:hint="eastAsia"/>
          <w:color w:val="auto"/>
          <w:highlight w:val="none"/>
          <w:u w:val="none" w:color="auto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港澳侨外籍及享受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政策性照顾对象适龄子女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eastAsia="zh-CN"/>
        </w:rPr>
        <w:t>缴交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u w:val="none" w:color="auto"/>
        </w:rPr>
        <w:t>材料一览表</w:t>
      </w:r>
    </w:p>
    <w:bookmarkEnd w:id="0"/>
    <w:tbl>
      <w:tblPr>
        <w:tblStyle w:val="6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69"/>
        <w:gridCol w:w="9267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类型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</w:rPr>
              <w:t>材料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（以下材料均须原件和复印件）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一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港澳籍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《香港和澳门学生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》（附件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2.适龄儿童有效的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港澳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居民来往内地通行证》和《港澳居民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；3.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厦门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市公安部门签发的学生本人及其父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《港澳居民居住证》或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《华侨港澳台同胞临时住宿登记表》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身份证明（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如《港澳居民来往内地通行证》、《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港澳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居民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或户口本）；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5.父（母）若在海沧区购置房产，提供产权证复印件；6.父（母）在厦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（母）既非香港、澳门特别行政区居民且均非厦门市户籍的须提供近一年在厦的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居住证、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和社保缴费证明；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restart"/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日登陆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“厦门i教育”综合服务平台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before="0" w:beforeLines="0" w:after="0" w:afterLines="0" w:line="56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或微信公众号“厦门i教育”进行网络报名。</w:t>
            </w: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日-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，至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海沧区教育局（海沧区滨湖北二路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1号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海发社区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1楼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）现场缴交申请材料。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二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华侨适龄儿童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1.《华侨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和外籍学生入学申请表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》（附件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《华侨身份证明》（区侨办开具）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适龄儿童有效的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身份证明或护照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（母）有效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身份证明或护照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厦门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市公安部门签发的学生本人及其父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《华侨港澳台同胞临时住宿登记表》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；7.父（母）若在海沧区购置房产，提供产权证复印件；8.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三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外籍适龄儿童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1.《华侨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和外籍学生入学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申请表》（附件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）；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适龄儿童有效的护照和签证页；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有效的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身份证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件；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厦门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市公安部门签发的学生本人及其父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《临时住宿登记表》；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（母）在厦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；6.父（母）若在海沧区购置房产，提供产权证复印件；7.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四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驻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海沧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区部队现役军人子女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符合政策的军人子女入学申请表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军人有效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身份证件（军官证等）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3.家庭户口本；4.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结婚证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父（母）若在海沧区购置房产，提供产权证复印件；6.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出生医学证明。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五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在厦核发证书的引进人才子女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《海沧区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人才子女入学申请表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（附件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居住证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在厦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</w:rPr>
              <w:t>工作证明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；4.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eastAsia="zh-CN"/>
              </w:rPr>
              <w:t>在厦社保缴费证明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；5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.在厦核发的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资格证书或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人才认定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文件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家庭户口本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父（母）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/>
              </w:rPr>
              <w:t>在海沧区购置房产，提供产权证复印件；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8.适龄儿童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出生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医学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证明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六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海沧区户籍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u w:val="none" w:color="auto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</w:rPr>
              <w:t>拆迁户人员子女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《海沧区户籍拆迁户人员子女入学申请表》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（附件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7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2.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拆迁协议（拆迁协议应体现适龄儿童姓名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若是领取拆迁货币化补偿款在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海沧区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自购商品房的，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提供产权证复印件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）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或房屋权属证明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；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</w:rPr>
              <w:t>家庭户口本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。</w:t>
            </w:r>
          </w:p>
        </w:tc>
        <w:tc>
          <w:tcPr>
            <w:tcW w:w="21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七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海沧区户籍需缓学适龄儿童</w:t>
            </w:r>
          </w:p>
        </w:tc>
        <w:tc>
          <w:tcPr>
            <w:tcW w:w="9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1.海沧区户籍适龄儿童免（缓）学申请表（附件8）；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县级及以上的医疗部门出具的疾病证明书、医疗收费发票、病历等佐证材料（半年内有效）或残疾证；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户口本首页、家长页（父或母）、孩子页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5月29日-5月31日至海沧区政务服务中心2楼35号窗口办理。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11802C"/>
    <w:multiLevelType w:val="singleLevel"/>
    <w:tmpl w:val="811180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7DA03D"/>
    <w:multiLevelType w:val="singleLevel"/>
    <w:tmpl w:val="7E7DA0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54136"/>
    <w:rsid w:val="4925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Char Char Char Char Char Char"/>
    <w:basedOn w:val="1"/>
    <w:link w:val="7"/>
    <w:uiPriority w:val="0"/>
  </w:style>
  <w:style w:type="character" w:styleId="9">
    <w:name w:val="Hyperlink"/>
    <w:basedOn w:val="7"/>
    <w:uiPriority w:val="0"/>
    <w:rPr>
      <w:rFonts w:ascii="Times New Roman" w:hAnsi="Times New Roman" w:eastAsia="仿宋_GB2312"/>
      <w:color w:val="0000FF"/>
      <w:sz w:val="32"/>
      <w:u w:val="single"/>
    </w:rPr>
  </w:style>
  <w:style w:type="paragraph" w:customStyle="1" w:styleId="10">
    <w:name w:val="样式 正文样式-LX + 小四"/>
    <w:basedOn w:val="1"/>
    <w:uiPriority w:val="0"/>
    <w:pPr>
      <w:widowControl/>
      <w:ind w:firstLine="510"/>
      <w:jc w:val="left"/>
      <w:textAlignment w:val="baseline"/>
    </w:pPr>
    <w:rPr>
      <w:kern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2023-05-23T01:44:00Z</dcterms:created>
  <dc:creator>Administrator</dc:creator>
  <cp:lastModifiedBy>Administrator</cp:lastModifiedBy>
  <dcterms:modified xsi:type="dcterms:W3CDTF">2023-05-23T01:45:46Z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