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val="0"/>
        <w:wordWrap/>
        <w:adjustRightInd/>
        <w:snapToGrid/>
        <w:spacing w:before="0" w:after="0" w:line="560" w:lineRule="exact"/>
        <w:ind w:left="0" w:leftChars="0" w:right="0" w:firstLine="0" w:firstLineChars="0"/>
        <w:jc w:val="center"/>
        <w:textAlignment w:val="auto"/>
        <w:outlineLvl w:val="9"/>
        <w:rPr>
          <w:rFonts w:hint="eastAsia" w:ascii="仿宋_GB2312" w:hAnsi="仿宋_GB2312" w:eastAsia="仿宋_GB2312" w:cs="仿宋_GB2312"/>
          <w:b w:val="0"/>
          <w:bCs w:val="0"/>
          <w:sz w:val="32"/>
          <w:szCs w:val="32"/>
          <w:lang w:eastAsia="zh-CN"/>
        </w:rPr>
      </w:pPr>
    </w:p>
    <w:p>
      <w:pPr>
        <w:widowControl/>
        <w:wordWrap/>
        <w:adjustRightInd/>
        <w:snapToGrid w:val="0"/>
        <w:spacing w:line="560" w:lineRule="exact"/>
        <w:ind w:left="0" w:leftChars="0" w:right="0" w:firstLine="320" w:firstLineChars="100"/>
        <w:jc w:val="center"/>
        <w:textAlignment w:val="auto"/>
        <w:rPr>
          <w:rFonts w:hint="default" w:ascii="仿宋_GB2312" w:eastAsia="仿宋_GB2312"/>
          <w:sz w:val="32"/>
          <w:szCs w:val="32"/>
          <w:lang w:val="en-US" w:eastAsia="zh-CN"/>
        </w:rPr>
      </w:pPr>
      <w:r>
        <w:rPr>
          <w:rFonts w:hint="eastAsia" w:ascii="仿宋_GB2312" w:eastAsia="仿宋_GB2312"/>
          <w:sz w:val="32"/>
          <w:szCs w:val="32"/>
        </w:rPr>
        <w:t>厦</w:t>
      </w:r>
      <w:r>
        <w:rPr>
          <w:rFonts w:hint="eastAsia" w:ascii="仿宋_GB2312" w:eastAsia="仿宋_GB2312"/>
          <w:sz w:val="32"/>
          <w:szCs w:val="32"/>
          <w:lang w:eastAsia="zh-CN"/>
        </w:rPr>
        <w:t>海</w:t>
      </w:r>
      <w:r>
        <w:rPr>
          <w:rFonts w:hint="eastAsia" w:ascii="仿宋_GB2312" w:eastAsia="仿宋_GB2312"/>
          <w:sz w:val="32"/>
          <w:szCs w:val="32"/>
        </w:rPr>
        <w:t>农</w:t>
      </w:r>
      <w:r>
        <w:rPr>
          <w:rFonts w:hint="eastAsia" w:ascii="仿宋_GB2312" w:eastAsia="仿宋_GB2312"/>
          <w:sz w:val="32"/>
          <w:szCs w:val="32"/>
          <w:lang w:eastAsia="zh-CN"/>
        </w:rPr>
        <w:t>水</w:t>
      </w: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w:t>
      </w:r>
      <w:r>
        <w:rPr>
          <w:rFonts w:hint="eastAsia" w:ascii="仿宋_GB2312" w:eastAsia="仿宋_GB2312"/>
          <w:sz w:val="32"/>
          <w:szCs w:val="32"/>
          <w:lang w:val="en-US" w:eastAsia="zh-CN"/>
        </w:rPr>
        <w:t>5</w:t>
      </w:r>
      <w:r>
        <w:rPr>
          <w:rFonts w:hint="eastAsia" w:ascii="仿宋_GB2312" w:eastAsia="仿宋_GB2312"/>
          <w:sz w:val="32"/>
          <w:szCs w:val="32"/>
        </w:rPr>
        <w:t>号</w:t>
      </w:r>
    </w:p>
    <w:p>
      <w:pPr>
        <w:widowControl/>
        <w:wordWrap/>
        <w:adjustRightInd/>
        <w:snapToGrid w:val="0"/>
        <w:spacing w:line="560" w:lineRule="exact"/>
        <w:ind w:left="0" w:leftChars="0" w:right="0"/>
        <w:jc w:val="center"/>
        <w:textAlignment w:val="auto"/>
        <w:rPr>
          <w:rFonts w:hint="eastAsia" w:ascii="仿宋_GB2312" w:eastAsia="仿宋_GB2312"/>
          <w:sz w:val="32"/>
          <w:szCs w:val="32"/>
        </w:rPr>
      </w:pPr>
    </w:p>
    <w:p>
      <w:pPr>
        <w:widowControl/>
        <w:wordWrap/>
        <w:adjustRightInd/>
        <w:snapToGrid w:val="0"/>
        <w:spacing w:line="560" w:lineRule="exact"/>
        <w:ind w:left="0" w:leftChars="0" w:right="0"/>
        <w:jc w:val="center"/>
        <w:textAlignment w:val="auto"/>
        <w:rPr>
          <w:rFonts w:hint="eastAsia" w:ascii="仿宋_GB2312" w:eastAsia="仿宋_GB2312"/>
          <w:sz w:val="32"/>
          <w:szCs w:val="32"/>
        </w:rPr>
      </w:pPr>
      <w:bookmarkStart w:id="0" w:name="_GoBack"/>
      <w:bookmarkEnd w:id="0"/>
    </w:p>
    <w:p>
      <w:pPr>
        <w:widowControl w:val="0"/>
        <w:spacing w:line="560" w:lineRule="exact"/>
        <w:jc w:val="center"/>
        <w:rPr>
          <w:rFonts w:ascii="方正小标宋简体" w:hAnsi="方正小标宋简体" w:eastAsia="方正小标宋简体" w:cs="方正小标宋简体"/>
          <w:color w:val="000000"/>
          <w:sz w:val="44"/>
          <w:szCs w:val="44"/>
          <w:lang w:val="zh-CN"/>
        </w:rPr>
      </w:pPr>
      <w:r>
        <w:rPr>
          <w:rFonts w:ascii="方正小标宋简体" w:hAnsi="方正小标宋简体" w:eastAsia="方正小标宋简体" w:cs="方正小标宋简体"/>
          <w:sz w:val="44"/>
          <w:szCs w:val="44"/>
        </w:rPr>
        <w:t>厦门市海沧区农业农村和水利局</w:t>
      </w:r>
      <w:r>
        <w:rPr>
          <w:rFonts w:ascii="方正小标宋简体" w:hAnsi="方正小标宋简体" w:eastAsia="方正小标宋简体" w:cs="方正小标宋简体"/>
          <w:spacing w:val="-11"/>
          <w:sz w:val="44"/>
          <w:szCs w:val="44"/>
        </w:rPr>
        <w:t xml:space="preserve"> 厦门市海沧区财政局</w:t>
      </w:r>
      <w:r>
        <w:rPr>
          <w:rFonts w:ascii="方正小标宋简体" w:hAnsi="方正小标宋简体" w:eastAsia="方正小标宋简体" w:cs="方正小标宋简体"/>
          <w:color w:val="000000"/>
          <w:sz w:val="44"/>
          <w:szCs w:val="44"/>
          <w:lang w:val="zh-CN"/>
        </w:rPr>
        <w:t>关于印发</w:t>
      </w:r>
      <w:r>
        <w:rPr>
          <w:rFonts w:hint="eastAsia" w:ascii="方正小标宋简体" w:hAnsi="方正小标宋简体" w:eastAsia="方正小标宋简体" w:cs="方正小标宋简体"/>
          <w:color w:val="000000"/>
          <w:sz w:val="44"/>
          <w:szCs w:val="44"/>
          <w:lang w:val="zh-CN"/>
        </w:rPr>
        <w:t>《</w:t>
      </w:r>
      <w:r>
        <w:rPr>
          <w:rFonts w:ascii="方正小标宋简体" w:hAnsi="方正小标宋简体" w:eastAsia="方正小标宋简体" w:cs="方正小标宋简体"/>
          <w:color w:val="000000"/>
          <w:sz w:val="44"/>
          <w:szCs w:val="44"/>
          <w:lang w:val="zh-CN"/>
        </w:rPr>
        <w:t>海沧区</w:t>
      </w:r>
      <w:r>
        <w:rPr>
          <w:rFonts w:ascii="方正小标宋简体" w:hAnsi="方正小标宋简体" w:eastAsia="方正小标宋简体" w:cs="方正小标宋简体"/>
          <w:color w:val="000000"/>
          <w:sz w:val="44"/>
          <w:szCs w:val="44"/>
        </w:rPr>
        <w:t>2025</w:t>
      </w:r>
      <w:r>
        <w:rPr>
          <w:rFonts w:ascii="方正小标宋简体" w:hAnsi="方正小标宋简体" w:eastAsia="方正小标宋简体" w:cs="方正小标宋简体"/>
          <w:color w:val="000000"/>
          <w:sz w:val="44"/>
          <w:szCs w:val="44"/>
          <w:lang w:val="zh-CN"/>
        </w:rPr>
        <w:t>年耕地地力</w:t>
      </w:r>
    </w:p>
    <w:p>
      <w:pPr>
        <w:widowControl w:val="0"/>
        <w:spacing w:line="560" w:lineRule="exact"/>
        <w:jc w:val="center"/>
        <w:rPr>
          <w:rFonts w:hint="default" w:ascii="方正小标宋简体" w:hAnsi="方正小标宋简体" w:eastAsia="方正小标宋简体" w:cs="方正小标宋简体"/>
          <w:color w:val="000000"/>
          <w:sz w:val="44"/>
          <w:szCs w:val="44"/>
          <w:lang w:val="zh-CN"/>
        </w:rPr>
      </w:pPr>
      <w:r>
        <w:rPr>
          <w:rFonts w:ascii="方正小标宋简体" w:hAnsi="方正小标宋简体" w:eastAsia="方正小标宋简体" w:cs="方正小标宋简体"/>
          <w:color w:val="000000"/>
          <w:sz w:val="44"/>
          <w:szCs w:val="44"/>
          <w:lang w:val="zh-CN"/>
        </w:rPr>
        <w:t>保护补贴发放工作方案</w:t>
      </w:r>
      <w:r>
        <w:rPr>
          <w:rFonts w:hint="eastAsia" w:ascii="方正小标宋简体" w:hAnsi="方正小标宋简体" w:eastAsia="方正小标宋简体" w:cs="方正小标宋简体"/>
          <w:color w:val="000000"/>
          <w:sz w:val="44"/>
          <w:szCs w:val="44"/>
          <w:lang w:val="zh-CN"/>
        </w:rPr>
        <w:t>》</w:t>
      </w:r>
      <w:r>
        <w:rPr>
          <w:rFonts w:ascii="方正小标宋简体" w:hAnsi="方正小标宋简体" w:eastAsia="方正小标宋简体" w:cs="方正小标宋简体"/>
          <w:color w:val="000000"/>
          <w:sz w:val="44"/>
          <w:szCs w:val="44"/>
          <w:lang w:val="zh-CN"/>
        </w:rPr>
        <w:t>的通知</w:t>
      </w:r>
    </w:p>
    <w:p>
      <w:pPr>
        <w:widowControl w:val="0"/>
        <w:spacing w:line="560" w:lineRule="exact"/>
        <w:jc w:val="center"/>
        <w:rPr>
          <w:rFonts w:hint="default" w:ascii="黑体" w:hAnsi="黑体" w:eastAsia="黑体" w:cs="方正小标宋简体"/>
          <w:sz w:val="36"/>
          <w:szCs w:val="36"/>
        </w:rPr>
      </w:pPr>
    </w:p>
    <w:p>
      <w:pPr>
        <w:widowControl w:val="0"/>
        <w:spacing w:line="560" w:lineRule="exact"/>
        <w:rPr>
          <w:rFonts w:hint="eastAsia" w:ascii="楷体_GB2312" w:hAnsi="楷体_GB2312" w:eastAsia="楷体_GB2312" w:cs="楷体_GB2312"/>
          <w:sz w:val="32"/>
          <w:lang w:val="zh-CN"/>
        </w:rPr>
      </w:pPr>
      <w:r>
        <w:rPr>
          <w:rFonts w:ascii="楷体_GB2312" w:hAnsi="楷体_GB2312" w:eastAsia="楷体_GB2312" w:cs="楷体_GB2312"/>
          <w:sz w:val="32"/>
          <w:lang w:val="zh-CN"/>
        </w:rPr>
        <w:t>各街道：</w:t>
      </w:r>
    </w:p>
    <w:p>
      <w:pPr>
        <w:widowControl w:val="0"/>
        <w:spacing w:line="560" w:lineRule="exact"/>
        <w:ind w:firstLine="640" w:firstLineChars="200"/>
        <w:rPr>
          <w:rFonts w:hint="eastAsia" w:ascii="楷体_GB2312" w:hAnsi="楷体_GB2312" w:eastAsia="楷体_GB2312" w:cs="楷体_GB2312"/>
          <w:sz w:val="32"/>
        </w:rPr>
      </w:pPr>
      <w:r>
        <w:rPr>
          <w:rFonts w:ascii="楷体_GB2312" w:hAnsi="楷体_GB2312" w:eastAsia="楷体_GB2312" w:cs="楷体_GB2312"/>
          <w:sz w:val="32"/>
          <w:lang w:val="zh-CN"/>
        </w:rPr>
        <w:t>现将《海沧区</w:t>
      </w:r>
      <w:r>
        <w:rPr>
          <w:rFonts w:ascii="楷体_GB2312" w:hAnsi="楷体_GB2312" w:eastAsia="楷体_GB2312" w:cs="楷体_GB2312"/>
          <w:sz w:val="32"/>
        </w:rPr>
        <w:t>2025</w:t>
      </w:r>
      <w:r>
        <w:rPr>
          <w:rFonts w:ascii="楷体_GB2312" w:hAnsi="楷体_GB2312" w:eastAsia="楷体_GB2312" w:cs="楷体_GB2312"/>
          <w:sz w:val="32"/>
          <w:lang w:val="zh-CN"/>
        </w:rPr>
        <w:t>年耕地地力保护补贴发放工作方案</w:t>
      </w:r>
      <w:r>
        <w:rPr>
          <w:rFonts w:ascii="楷体_GB2312" w:hAnsi="楷体_GB2312" w:eastAsia="楷体_GB2312" w:cs="楷体_GB2312"/>
          <w:sz w:val="32"/>
        </w:rPr>
        <w:t>》印发给你们，请遵照执行。</w:t>
      </w:r>
    </w:p>
    <w:p>
      <w:pPr>
        <w:widowControl w:val="0"/>
        <w:spacing w:line="560" w:lineRule="exact"/>
        <w:rPr>
          <w:rFonts w:hint="eastAsia" w:ascii="楷体_GB2312" w:hAnsi="楷体_GB2312" w:eastAsia="楷体_GB2312" w:cs="楷体_GB2312"/>
          <w:sz w:val="32"/>
          <w:szCs w:val="32"/>
        </w:rPr>
      </w:pPr>
    </w:p>
    <w:p>
      <w:pPr>
        <w:widowControl w:val="0"/>
        <w:spacing w:line="560" w:lineRule="exact"/>
        <w:rPr>
          <w:rFonts w:hint="eastAsia" w:ascii="楷体_GB2312" w:hAnsi="楷体_GB2312" w:eastAsia="楷体_GB2312" w:cs="楷体_GB2312"/>
          <w:sz w:val="32"/>
          <w:szCs w:val="32"/>
        </w:rPr>
      </w:pPr>
    </w:p>
    <w:p>
      <w:pPr>
        <w:widowControl w:val="0"/>
        <w:spacing w:line="560" w:lineRule="exact"/>
        <w:rPr>
          <w:rFonts w:hint="eastAsia" w:ascii="楷体_GB2312" w:hAnsi="楷体_GB2312" w:eastAsia="楷体_GB2312" w:cs="楷体_GB2312"/>
          <w:sz w:val="32"/>
          <w:szCs w:val="32"/>
        </w:rPr>
      </w:pPr>
      <w:r>
        <w:rPr>
          <w:rFonts w:ascii="楷体_GB2312" w:hAnsi="楷体_GB2312" w:eastAsia="楷体_GB2312" w:cs="楷体_GB2312"/>
          <w:sz w:val="32"/>
          <w:szCs w:val="32"/>
        </w:rPr>
        <w:t xml:space="preserve">  厦门市海沧区农业农村和水利局  </w:t>
      </w:r>
      <w:r>
        <w:rPr>
          <w:rFonts w:hint="eastAsia" w:ascii="楷体_GB2312" w:hAnsi="楷体_GB2312" w:eastAsia="楷体_GB2312" w:cs="楷体_GB2312"/>
          <w:sz w:val="32"/>
          <w:szCs w:val="32"/>
          <w:lang w:val="en-US" w:eastAsia="zh-CN"/>
        </w:rPr>
        <w:t xml:space="preserve"> </w:t>
      </w:r>
      <w:r>
        <w:rPr>
          <w:rFonts w:ascii="楷体_GB2312" w:hAnsi="楷体_GB2312" w:eastAsia="楷体_GB2312" w:cs="楷体_GB2312"/>
          <w:sz w:val="32"/>
          <w:szCs w:val="32"/>
        </w:rPr>
        <w:t xml:space="preserve">厦门市海沧区财政局                              </w:t>
      </w:r>
    </w:p>
    <w:p>
      <w:pPr>
        <w:widowControl w:val="0"/>
        <w:spacing w:line="560" w:lineRule="exact"/>
        <w:ind w:firstLine="3840" w:firstLineChars="1200"/>
        <w:rPr>
          <w:rFonts w:hint="eastAsia" w:ascii="楷体_GB2312" w:hAnsi="楷体_GB2312" w:eastAsia="楷体_GB2312" w:cs="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lang w:val="en-US" w:eastAsia="zh-CN"/>
        </w:rPr>
        <w:t xml:space="preserve"> </w:t>
      </w:r>
      <w:r>
        <w:rPr>
          <w:rFonts w:ascii="楷体_GB2312" w:hAnsi="楷体_GB2312" w:eastAsia="楷体_GB2312" w:cs="楷体_GB2312"/>
          <w:sz w:val="32"/>
          <w:szCs w:val="32"/>
        </w:rPr>
        <w:t xml:space="preserve"> 2025年</w:t>
      </w:r>
      <w:r>
        <w:rPr>
          <w:rFonts w:hint="eastAsia" w:ascii="楷体_GB2312" w:hAnsi="楷体_GB2312" w:eastAsia="楷体_GB2312" w:cs="楷体_GB2312"/>
          <w:sz w:val="32"/>
          <w:szCs w:val="32"/>
          <w:lang w:val="en-US" w:eastAsia="zh-CN"/>
        </w:rPr>
        <w:t>3</w:t>
      </w:r>
      <w:r>
        <w:rPr>
          <w:rFonts w:ascii="楷体_GB2312" w:hAnsi="楷体_GB2312" w:eastAsia="楷体_GB2312" w:cs="楷体_GB2312"/>
          <w:sz w:val="32"/>
          <w:szCs w:val="32"/>
        </w:rPr>
        <w:t>月</w:t>
      </w:r>
      <w:r>
        <w:rPr>
          <w:rFonts w:hint="eastAsia" w:ascii="楷体_GB2312" w:hAnsi="楷体_GB2312" w:eastAsia="楷体_GB2312" w:cs="楷体_GB2312"/>
          <w:sz w:val="32"/>
          <w:szCs w:val="32"/>
          <w:lang w:val="en-US" w:eastAsia="zh-CN"/>
        </w:rPr>
        <w:t>10</w:t>
      </w:r>
      <w:r>
        <w:rPr>
          <w:rFonts w:ascii="楷体_GB2312" w:hAnsi="楷体_GB2312" w:eastAsia="楷体_GB2312" w:cs="楷体_GB2312"/>
          <w:sz w:val="32"/>
          <w:szCs w:val="32"/>
        </w:rPr>
        <w:t>日</w:t>
      </w:r>
    </w:p>
    <w:p>
      <w:pPr>
        <w:widowControl w:val="0"/>
        <w:spacing w:line="560" w:lineRule="exact"/>
        <w:jc w:val="center"/>
        <w:rPr>
          <w:rFonts w:hint="default" w:ascii="方正小标宋简体" w:hAnsi="方正小标宋简体" w:eastAsia="方正小标宋简体" w:cs="方正小标宋简体"/>
          <w:color w:val="000000"/>
          <w:sz w:val="44"/>
          <w:szCs w:val="44"/>
          <w:lang w:val="zh-CN"/>
        </w:rPr>
      </w:pPr>
      <w:r>
        <w:rPr>
          <w:rFonts w:ascii="仿宋_GB2312" w:hAnsi="仿宋_GB2312" w:eastAsia="仿宋_GB2312" w:cs="仿宋_GB2312"/>
          <w:color w:val="000000"/>
          <w:sz w:val="36"/>
          <w:szCs w:val="36"/>
          <w:lang w:val="zh-CN"/>
        </w:rPr>
        <w:br w:type="page"/>
      </w:r>
      <w:r>
        <w:rPr>
          <w:rFonts w:ascii="方正小标宋简体" w:hAnsi="方正小标宋简体" w:eastAsia="方正小标宋简体" w:cs="方正小标宋简体"/>
          <w:color w:val="000000"/>
          <w:sz w:val="44"/>
          <w:szCs w:val="44"/>
          <w:lang w:val="zh-CN"/>
        </w:rPr>
        <w:t>海沧区20</w:t>
      </w:r>
      <w:r>
        <w:rPr>
          <w:rFonts w:ascii="方正小标宋简体" w:hAnsi="方正小标宋简体" w:eastAsia="方正小标宋简体" w:cs="方正小标宋简体"/>
          <w:color w:val="000000"/>
          <w:sz w:val="44"/>
          <w:szCs w:val="44"/>
        </w:rPr>
        <w:t>25</w:t>
      </w:r>
      <w:r>
        <w:rPr>
          <w:rFonts w:ascii="方正小标宋简体" w:hAnsi="方正小标宋简体" w:eastAsia="方正小标宋简体" w:cs="方正小标宋简体"/>
          <w:color w:val="000000"/>
          <w:sz w:val="44"/>
          <w:szCs w:val="44"/>
          <w:lang w:val="zh-CN"/>
        </w:rPr>
        <w:t>年耕地地力保护补贴</w:t>
      </w:r>
    </w:p>
    <w:p>
      <w:pPr>
        <w:widowControl w:val="0"/>
        <w:spacing w:line="560" w:lineRule="exact"/>
        <w:jc w:val="center"/>
        <w:rPr>
          <w:rFonts w:hint="default" w:ascii="方正小标宋简体" w:hAnsi="方正小标宋简体" w:eastAsia="方正小标宋简体" w:cs="方正小标宋简体"/>
          <w:color w:val="000000"/>
          <w:sz w:val="44"/>
          <w:szCs w:val="44"/>
          <w:lang w:val="zh-CN"/>
        </w:rPr>
      </w:pPr>
      <w:r>
        <w:rPr>
          <w:rFonts w:ascii="方正小标宋简体" w:hAnsi="方正小标宋简体" w:eastAsia="方正小标宋简体" w:cs="方正小标宋简体"/>
          <w:color w:val="000000"/>
          <w:sz w:val="44"/>
          <w:szCs w:val="44"/>
          <w:lang w:val="zh-CN"/>
        </w:rPr>
        <w:t>发放工作方案</w:t>
      </w:r>
    </w:p>
    <w:p>
      <w:pPr>
        <w:widowControl w:val="0"/>
        <w:spacing w:line="560" w:lineRule="exact"/>
        <w:ind w:firstLine="640" w:firstLineChars="200"/>
        <w:rPr>
          <w:rFonts w:hint="default" w:ascii="仿宋_GB2312" w:hAnsi="仿宋_GB2312" w:eastAsia="仿宋_GB2312" w:cs="仿宋_GB2312"/>
          <w:sz w:val="32"/>
        </w:rPr>
      </w:pP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根据《厦门市财政局 厦门市农业农村局关于提前下达2025年耕地地力保护补贴资金的通知》</w:t>
      </w:r>
      <w:r>
        <w:rPr>
          <w:rFonts w:hint="eastAsia" w:ascii="仿宋_GB2312" w:hAnsi="仿宋_GB2312" w:eastAsia="仿宋_GB2312" w:cs="仿宋_GB2312"/>
          <w:sz w:val="32"/>
          <w:lang w:eastAsia="zh-CN"/>
        </w:rPr>
        <w:t>（</w:t>
      </w:r>
      <w:r>
        <w:rPr>
          <w:rFonts w:ascii="仿宋_GB2312" w:hAnsi="仿宋_GB2312" w:eastAsia="仿宋_GB2312" w:cs="仿宋_GB2312"/>
          <w:sz w:val="32"/>
        </w:rPr>
        <w:t>厦财农指〔2024〕42号</w:t>
      </w:r>
      <w:r>
        <w:rPr>
          <w:rFonts w:hint="eastAsia" w:ascii="仿宋_GB2312" w:hAnsi="仿宋_GB2312" w:eastAsia="仿宋_GB2312" w:cs="仿宋_GB2312"/>
          <w:sz w:val="32"/>
          <w:lang w:eastAsia="zh-CN"/>
        </w:rPr>
        <w:t>）</w:t>
      </w:r>
      <w:r>
        <w:rPr>
          <w:rFonts w:ascii="仿宋_GB2312" w:hAnsi="仿宋_GB2312" w:eastAsia="仿宋_GB2312" w:cs="仿宋_GB2312"/>
          <w:sz w:val="32"/>
        </w:rPr>
        <w:t>的文件精神，结合我区实际，制定本工作方案。</w:t>
      </w:r>
    </w:p>
    <w:p>
      <w:pPr>
        <w:widowControl w:val="0"/>
        <w:spacing w:line="560" w:lineRule="exact"/>
        <w:ind w:firstLine="640" w:firstLineChars="200"/>
        <w:jc w:val="both"/>
        <w:rPr>
          <w:rFonts w:hint="default" w:ascii="黑体" w:hAnsi="黑体" w:eastAsia="黑体" w:cs="黑体"/>
          <w:sz w:val="32"/>
        </w:rPr>
      </w:pPr>
      <w:r>
        <w:rPr>
          <w:rFonts w:ascii="黑体" w:hAnsi="黑体" w:eastAsia="黑体" w:cs="黑体"/>
          <w:sz w:val="32"/>
        </w:rPr>
        <w:t>一、目标要求</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落实耕地地力保护补贴惠农政策，全面及时完成2025年耕地地力保护补贴发放工作任务。</w:t>
      </w:r>
    </w:p>
    <w:p>
      <w:pPr>
        <w:widowControl w:val="0"/>
        <w:spacing w:line="560" w:lineRule="exact"/>
        <w:ind w:firstLine="640" w:firstLineChars="200"/>
        <w:jc w:val="both"/>
        <w:rPr>
          <w:rFonts w:hint="default" w:ascii="黑体" w:hAnsi="黑体" w:eastAsia="黑体" w:cs="黑体"/>
          <w:sz w:val="32"/>
        </w:rPr>
      </w:pPr>
      <w:r>
        <w:rPr>
          <w:rFonts w:ascii="黑体" w:hAnsi="黑体" w:eastAsia="黑体" w:cs="黑体"/>
          <w:sz w:val="32"/>
        </w:rPr>
        <w:t>二、补贴对象</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补贴对象原则上为全区拥有耕地承包权的种地农民。国有农场和村集体耕地不纳入补贴对象范围。针对承包方土地流转、身份转变等出现的补贴问题，具体明确如下：</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szCs w:val="21"/>
        </w:rPr>
        <w:t>1.</w:t>
      </w:r>
      <w:r>
        <w:rPr>
          <w:rFonts w:ascii="仿宋_GB2312" w:hAnsi="仿宋_GB2312" w:eastAsia="仿宋_GB2312" w:cs="仿宋_GB2312"/>
          <w:sz w:val="32"/>
        </w:rPr>
        <w:t>农民家庭承包地委托他人代耕代种或实施流转的，原则上补贴给原土地承包户，并承担耕地地力保护责任。代耕代种或流转双方对补贴归属有书面约定的，从其约定。</w:t>
      </w:r>
    </w:p>
    <w:p>
      <w:pPr>
        <w:pStyle w:val="26"/>
        <w:widowControl w:val="0"/>
        <w:spacing w:line="560" w:lineRule="exact"/>
        <w:ind w:firstLine="640" w:firstLineChars="200"/>
        <w:jc w:val="both"/>
        <w:rPr>
          <w:rFonts w:hint="default" w:ascii="仿宋_GB2312" w:hAnsi="仿宋_GB2312" w:cs="仿宋_GB2312"/>
        </w:rPr>
      </w:pPr>
      <w:r>
        <w:rPr>
          <w:rFonts w:ascii="仿宋_GB2312" w:hAnsi="仿宋_GB2312" w:cs="仿宋_GB2312"/>
        </w:rPr>
        <w:t>2.承包方户主死亡、家庭成员发生变动等，不影响承包合同效力的，及时变更户主“一卡通”或其他银行账户等信息，继续享受耕地地力保护补贴。</w:t>
      </w:r>
    </w:p>
    <w:p>
      <w:pPr>
        <w:pStyle w:val="26"/>
        <w:widowControl w:val="0"/>
        <w:spacing w:line="560" w:lineRule="exact"/>
        <w:ind w:firstLine="640" w:firstLineChars="200"/>
        <w:jc w:val="both"/>
        <w:rPr>
          <w:rFonts w:hint="default" w:ascii="仿宋_GB2312" w:hAnsi="仿宋_GB2312" w:cs="仿宋_GB2312"/>
        </w:rPr>
      </w:pPr>
      <w:r>
        <w:rPr>
          <w:rFonts w:ascii="仿宋_GB2312" w:hAnsi="仿宋_GB2312" w:cs="仿宋_GB2312"/>
        </w:rPr>
        <w:t>3.承包户整户消亡的，村集体收回承包地之前，由该地块实际种植者享受补贴；村集体收回承包权后，该户不再享受耕地地力保护补贴。</w:t>
      </w:r>
    </w:p>
    <w:p>
      <w:pPr>
        <w:pStyle w:val="26"/>
        <w:widowControl w:val="0"/>
        <w:spacing w:line="560" w:lineRule="exact"/>
        <w:ind w:firstLine="640" w:firstLineChars="200"/>
        <w:jc w:val="both"/>
        <w:rPr>
          <w:rFonts w:hint="default" w:ascii="仿宋_GB2312" w:hAnsi="仿宋_GB2312" w:cs="仿宋_GB2312"/>
        </w:rPr>
      </w:pPr>
      <w:r>
        <w:rPr>
          <w:rFonts w:ascii="仿宋_GB2312" w:hAnsi="仿宋_GB2312" w:cs="仿宋_GB2312"/>
        </w:rPr>
        <w:t>4.承包方身份虽已转变但实际拥有耕地承包权或承包权益，且耕种土地符合条件的享受耕地地力保护补贴。</w:t>
      </w:r>
    </w:p>
    <w:p>
      <w:pPr>
        <w:widowControl w:val="0"/>
        <w:spacing w:line="560" w:lineRule="exact"/>
        <w:ind w:firstLine="640" w:firstLineChars="200"/>
        <w:jc w:val="both"/>
        <w:rPr>
          <w:rFonts w:hint="default" w:ascii="黑体" w:hAnsi="黑体" w:eastAsia="黑体" w:cs="黑体"/>
          <w:sz w:val="32"/>
        </w:rPr>
      </w:pPr>
      <w:r>
        <w:rPr>
          <w:rFonts w:ascii="黑体" w:hAnsi="黑体" w:eastAsia="黑体" w:cs="黑体"/>
          <w:sz w:val="32"/>
        </w:rPr>
        <w:t>三、补贴依据</w:t>
      </w:r>
    </w:p>
    <w:p>
      <w:pPr>
        <w:widowControl w:val="0"/>
        <w:spacing w:line="560" w:lineRule="exact"/>
        <w:ind w:firstLine="640" w:firstLineChars="200"/>
        <w:jc w:val="both"/>
        <w:rPr>
          <w:rFonts w:ascii="仿宋_GB2312" w:hAnsi="仿宋_GB2312" w:eastAsia="仿宋_GB2312" w:cs="仿宋_GB2312"/>
          <w:sz w:val="32"/>
        </w:rPr>
      </w:pPr>
      <w:r>
        <w:rPr>
          <w:rFonts w:ascii="仿宋_GB2312" w:hAnsi="仿宋_GB2312" w:eastAsia="仿宋_GB2312" w:cs="仿宋_GB2312"/>
          <w:sz w:val="32"/>
        </w:rPr>
        <w:t>补贴面积核定以土地承包经营权确权登记颁证、二轮承包耕地面积为基数，据实核减不符合补贴条件的面积。</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对不补范围明确如下：</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1.林地、已作为畜牧（水产）养殖场使用的耕地；</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2.成片粮田转为设施农业用地；</w:t>
      </w:r>
    </w:p>
    <w:p>
      <w:pPr>
        <w:pStyle w:val="26"/>
        <w:widowControl w:val="0"/>
        <w:spacing w:line="560" w:lineRule="exact"/>
        <w:ind w:firstLine="640" w:firstLineChars="200"/>
        <w:jc w:val="both"/>
        <w:rPr>
          <w:rFonts w:hint="default"/>
        </w:rPr>
      </w:pPr>
      <w:r>
        <w:rPr>
          <w:rFonts w:ascii="仿宋_GB2312" w:hAnsi="仿宋_GB2312" w:cs="仿宋_GB2312"/>
        </w:rPr>
        <w:t>3.在承包耕地上种植果树、中药材、花卉等多年生农作物及木本作物不符合耕地种植用途管控的；</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4.非农征（占）用耕地等已改变用途的耕地；</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5.占补平衡中“补”的面积和质量达不到耕种条件的耕地；</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6.至本方案印发之日，已抛荒一年以上的，取消2025年度补贴资格，待复耕后重新纳入次年的补贴范围；</w:t>
      </w:r>
    </w:p>
    <w:p>
      <w:pPr>
        <w:pStyle w:val="26"/>
        <w:widowControl w:val="0"/>
        <w:spacing w:line="560" w:lineRule="exact"/>
        <w:ind w:firstLine="640" w:firstLineChars="200"/>
        <w:jc w:val="both"/>
        <w:rPr>
          <w:rFonts w:hint="default"/>
        </w:rPr>
      </w:pPr>
      <w:r>
        <w:rPr>
          <w:rFonts w:ascii="仿宋_GB2312" w:hAnsi="仿宋_GB2312" w:cs="仿宋_GB2312"/>
        </w:rPr>
        <w:t>7.已征地及已领取全部或</w:t>
      </w:r>
      <w:r>
        <w:rPr>
          <w:rFonts w:ascii="仿宋_GB2312" w:hAnsi="仿宋_GB2312" w:cs="仿宋_GB2312"/>
          <w:highlight w:val="none"/>
        </w:rPr>
        <w:t>部分</w:t>
      </w:r>
      <w:r>
        <w:rPr>
          <w:rFonts w:ascii="仿宋_GB2312" w:hAnsi="仿宋_GB2312" w:cs="仿宋_GB2312"/>
        </w:rPr>
        <w:t>征地补偿款的预征地块。</w:t>
      </w:r>
    </w:p>
    <w:p>
      <w:pPr>
        <w:widowControl w:val="0"/>
        <w:spacing w:line="560" w:lineRule="exact"/>
        <w:ind w:firstLine="640" w:firstLineChars="200"/>
        <w:jc w:val="both"/>
        <w:rPr>
          <w:rFonts w:hint="default" w:ascii="黑体" w:hAnsi="黑体" w:eastAsia="黑体" w:cs="黑体"/>
          <w:sz w:val="32"/>
        </w:rPr>
      </w:pPr>
      <w:r>
        <w:rPr>
          <w:rFonts w:ascii="黑体" w:hAnsi="黑体" w:eastAsia="黑体" w:cs="黑体"/>
          <w:sz w:val="32"/>
        </w:rPr>
        <w:t>四、补贴标准</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补贴标准根据下达的补贴资金总量（含当年拨付和历年结转资金）和各街道核定的享受补贴耕地面积进行测算，全区按统一标准发放。</w:t>
      </w:r>
    </w:p>
    <w:p>
      <w:pPr>
        <w:widowControl w:val="0"/>
        <w:spacing w:line="560" w:lineRule="exact"/>
        <w:ind w:firstLine="640" w:firstLineChars="200"/>
        <w:jc w:val="both"/>
        <w:rPr>
          <w:rFonts w:hint="default" w:ascii="黑体" w:hAnsi="黑体" w:eastAsia="黑体" w:cs="黑体"/>
          <w:sz w:val="32"/>
        </w:rPr>
      </w:pPr>
      <w:r>
        <w:rPr>
          <w:rFonts w:ascii="黑体" w:hAnsi="黑体" w:eastAsia="黑体" w:cs="黑体"/>
          <w:sz w:val="32"/>
        </w:rPr>
        <w:t>五、发放流程</w:t>
      </w:r>
    </w:p>
    <w:p>
      <w:pPr>
        <w:widowControl w:val="0"/>
        <w:spacing w:line="560" w:lineRule="exact"/>
        <w:ind w:firstLine="640" w:firstLineChars="200"/>
        <w:jc w:val="both"/>
        <w:rPr>
          <w:rFonts w:hint="default" w:ascii="楷体_GB2312" w:hAnsi="楷体_GB2312" w:eastAsia="楷体_GB2312" w:cs="楷体_GB2312"/>
          <w:sz w:val="32"/>
        </w:rPr>
      </w:pPr>
      <w:r>
        <w:rPr>
          <w:rFonts w:ascii="楷体_GB2312" w:hAnsi="楷体_GB2312" w:eastAsia="楷体_GB2312" w:cs="楷体_GB2312"/>
          <w:sz w:val="32"/>
        </w:rPr>
        <w:t>（一）村级登记</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1.根据省级统一的《耕地地力补贴清册》（以下简称《清册》）样式，村（居）委会逐户登记、核实耕地地力补贴每户应补面积、不纳入补贴的面积和“一卡通”帐户、身份证号码等信息。</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2.将登记信息隐去部分涉及个人身份信息和隐私的数据，在村级公示栏或基层小微权力群等农户方便知晓的场所或平台公示公开7天，存在异议的，由村（居）委会3天内核实完善，并再次公示5天，确保村级登记工作质量，做到信息登记准确无误。</w:t>
      </w:r>
    </w:p>
    <w:p>
      <w:pPr>
        <w:widowControl w:val="0"/>
        <w:spacing w:line="560" w:lineRule="exact"/>
        <w:ind w:firstLine="640" w:firstLineChars="200"/>
        <w:jc w:val="both"/>
        <w:rPr>
          <w:rFonts w:hint="default" w:ascii="楷体_GB2312" w:hAnsi="楷体_GB2312" w:eastAsia="楷体_GB2312" w:cs="楷体_GB2312"/>
          <w:sz w:val="32"/>
        </w:rPr>
      </w:pPr>
      <w:r>
        <w:rPr>
          <w:rFonts w:ascii="仿宋_GB2312" w:hAnsi="仿宋_GB2312" w:eastAsia="仿宋_GB2312" w:cs="仿宋_GB2312"/>
          <w:sz w:val="32"/>
        </w:rPr>
        <w:t>3.无异议后，由村（居）委会主任或具体负责村主干签字、村（居）委会盖章，</w:t>
      </w:r>
      <w:r>
        <w:rPr>
          <w:rFonts w:hint="eastAsia" w:ascii="仿宋_GB2312" w:hAnsi="仿宋_GB2312" w:eastAsia="仿宋_GB2312" w:cs="仿宋_GB2312"/>
          <w:sz w:val="32"/>
          <w:lang w:eastAsia="zh-CN"/>
        </w:rPr>
        <w:t>并</w:t>
      </w:r>
      <w:r>
        <w:rPr>
          <w:rFonts w:ascii="仿宋_GB2312" w:hAnsi="仿宋_GB2312" w:eastAsia="仿宋_GB2312" w:cs="仿宋_GB2312"/>
          <w:sz w:val="32"/>
        </w:rPr>
        <w:t>上报街道。户主身份、账户、耕地面积、死亡户等信息发生变化的，村级每年在3月31日前核实更新。以后年度农户补贴面积及信息数据没有变化的可直接公示，户主、补贴面积发生变化的，应及时更新《清册》后进行公示。</w:t>
      </w:r>
      <w:r>
        <w:rPr>
          <w:rFonts w:ascii="楷体_GB2312" w:hAnsi="楷体_GB2312" w:eastAsia="楷体_GB2312" w:cs="楷体_GB2312"/>
          <w:sz w:val="32"/>
        </w:rPr>
        <w:t xml:space="preserve">   </w:t>
      </w:r>
    </w:p>
    <w:p>
      <w:pPr>
        <w:widowControl w:val="0"/>
        <w:spacing w:line="560" w:lineRule="exact"/>
        <w:ind w:firstLine="640" w:firstLineChars="200"/>
        <w:jc w:val="both"/>
        <w:rPr>
          <w:rFonts w:hint="default" w:ascii="楷体_GB2312" w:hAnsi="楷体_GB2312" w:eastAsia="楷体_GB2312" w:cs="楷体_GB2312"/>
          <w:sz w:val="32"/>
        </w:rPr>
      </w:pPr>
      <w:r>
        <w:rPr>
          <w:rFonts w:ascii="楷体_GB2312" w:hAnsi="楷体_GB2312" w:eastAsia="楷体_GB2312" w:cs="楷体_GB2312"/>
          <w:sz w:val="32"/>
        </w:rPr>
        <w:t>（二）街道审核</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1.</w:t>
      </w:r>
      <w:r>
        <w:rPr>
          <w:rFonts w:ascii="仿宋_GB2312" w:hAnsi="仿宋_GB2312" w:eastAsia="仿宋_GB2312" w:cs="仿宋_GB2312"/>
          <w:sz w:val="32"/>
        </w:rPr>
        <w:t>督促村（居）委会及时准确申报、汇总各村（居）上报的农户和耕地面积等数据，抽核、审核《清册》内容。</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2.</w:t>
      </w:r>
      <w:r>
        <w:rPr>
          <w:rFonts w:hint="eastAsia" w:ascii="仿宋_GB2312" w:hAnsi="仿宋_GB2312" w:eastAsia="仿宋_GB2312" w:cs="仿宋_GB2312"/>
          <w:sz w:val="32"/>
          <w:lang w:eastAsia="zh-CN"/>
        </w:rPr>
        <w:t>原则上</w:t>
      </w:r>
      <w:r>
        <w:rPr>
          <w:rFonts w:ascii="仿宋_GB2312" w:hAnsi="仿宋_GB2312" w:eastAsia="仿宋_GB2312" w:cs="仿宋_GB2312"/>
          <w:sz w:val="32"/>
        </w:rPr>
        <w:t>各街道每年抽取</w:t>
      </w:r>
      <w:r>
        <w:rPr>
          <w:rFonts w:hint="eastAsia" w:ascii="仿宋_GB2312" w:hAnsi="仿宋_GB2312" w:eastAsia="仿宋_GB2312" w:cs="仿宋_GB2312"/>
          <w:sz w:val="32"/>
          <w:lang w:eastAsia="zh-CN"/>
        </w:rPr>
        <w:t>不少于</w:t>
      </w:r>
      <w:r>
        <w:rPr>
          <w:rFonts w:ascii="仿宋_GB2312" w:hAnsi="仿宋_GB2312" w:eastAsia="仿宋_GB2312" w:cs="仿宋_GB2312"/>
          <w:sz w:val="32"/>
        </w:rPr>
        <w:t>20%的</w:t>
      </w:r>
      <w:r>
        <w:rPr>
          <w:rFonts w:hint="eastAsia" w:ascii="仿宋_GB2312" w:hAnsi="仿宋_GB2312" w:eastAsia="仿宋_GB2312" w:cs="仿宋_GB2312"/>
          <w:sz w:val="32"/>
          <w:lang w:eastAsia="zh-CN"/>
        </w:rPr>
        <w:t>补贴对象</w:t>
      </w:r>
      <w:r>
        <w:rPr>
          <w:rFonts w:ascii="仿宋_GB2312" w:hAnsi="仿宋_GB2312" w:eastAsia="仿宋_GB2312" w:cs="仿宋_GB2312"/>
          <w:sz w:val="32"/>
        </w:rPr>
        <w:t>开展实地核查。</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3.上报数据经街道主要领导、分管领导和经办人签字并盖街道办事处公章，报区农业农村和水利局。街道审核原则上</w:t>
      </w:r>
      <w:r>
        <w:rPr>
          <w:rFonts w:hint="eastAsia" w:ascii="仿宋_GB2312" w:hAnsi="仿宋_GB2312" w:eastAsia="仿宋_GB2312" w:cs="仿宋_GB2312"/>
          <w:sz w:val="32"/>
          <w:lang w:eastAsia="zh-CN"/>
        </w:rPr>
        <w:t>于</w:t>
      </w:r>
      <w:r>
        <w:rPr>
          <w:rFonts w:ascii="仿宋_GB2312" w:hAnsi="仿宋_GB2312" w:eastAsia="仿宋_GB2312" w:cs="仿宋_GB2312"/>
          <w:sz w:val="32"/>
        </w:rPr>
        <w:t>4月底前完成。</w:t>
      </w:r>
    </w:p>
    <w:p>
      <w:pPr>
        <w:widowControl w:val="0"/>
        <w:spacing w:line="560" w:lineRule="exact"/>
        <w:ind w:firstLine="640" w:firstLineChars="200"/>
        <w:jc w:val="both"/>
        <w:rPr>
          <w:rFonts w:hint="default" w:ascii="楷体_GB2312" w:hAnsi="楷体_GB2312" w:eastAsia="楷体_GB2312" w:cs="楷体_GB2312"/>
          <w:sz w:val="32"/>
        </w:rPr>
      </w:pPr>
      <w:r>
        <w:rPr>
          <w:rFonts w:ascii="楷体_GB2312" w:hAnsi="楷体_GB2312" w:eastAsia="楷体_GB2312" w:cs="楷体_GB2312"/>
          <w:sz w:val="32"/>
        </w:rPr>
        <w:t>（三）区级测算</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1.区农业农村和水利局全面确认街道上报的《清册》内容，</w:t>
      </w:r>
      <w:r>
        <w:rPr>
          <w:rFonts w:hint="eastAsia" w:ascii="仿宋_GB2312" w:hAnsi="仿宋_GB2312" w:eastAsia="仿宋_GB2312" w:cs="仿宋_GB2312"/>
          <w:sz w:val="32"/>
          <w:lang w:eastAsia="zh-CN"/>
        </w:rPr>
        <w:t>原则上</w:t>
      </w:r>
      <w:r>
        <w:rPr>
          <w:rFonts w:ascii="仿宋_GB2312" w:hAnsi="仿宋_GB2312" w:eastAsia="仿宋_GB2312" w:cs="仿宋_GB2312"/>
          <w:sz w:val="32"/>
        </w:rPr>
        <w:t>抽取</w:t>
      </w:r>
      <w:r>
        <w:rPr>
          <w:rFonts w:hint="eastAsia" w:ascii="仿宋_GB2312" w:hAnsi="仿宋_GB2312" w:eastAsia="仿宋_GB2312" w:cs="仿宋_GB2312"/>
          <w:sz w:val="32"/>
          <w:lang w:eastAsia="zh-CN"/>
        </w:rPr>
        <w:t>不少于</w:t>
      </w:r>
      <w:r>
        <w:rPr>
          <w:rFonts w:ascii="仿宋_GB2312" w:hAnsi="仿宋_GB2312" w:eastAsia="仿宋_GB2312" w:cs="仿宋_GB2312"/>
          <w:sz w:val="32"/>
        </w:rPr>
        <w:t>10%的</w:t>
      </w:r>
      <w:r>
        <w:rPr>
          <w:rFonts w:hint="eastAsia" w:ascii="仿宋_GB2312" w:hAnsi="仿宋_GB2312" w:eastAsia="仿宋_GB2312" w:cs="仿宋_GB2312"/>
          <w:sz w:val="32"/>
          <w:lang w:eastAsia="zh-CN"/>
        </w:rPr>
        <w:t>补贴对象</w:t>
      </w:r>
      <w:r>
        <w:rPr>
          <w:rFonts w:ascii="仿宋_GB2312" w:hAnsi="仿宋_GB2312" w:eastAsia="仿宋_GB2312" w:cs="仿宋_GB2312"/>
          <w:sz w:val="32"/>
        </w:rPr>
        <w:t>开展实地核查。</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2.汇总全区耕地补贴总面积，按照可补资金量（含当年拨付和上年结转资金）</w:t>
      </w:r>
      <w:r>
        <w:rPr>
          <w:rFonts w:hint="eastAsia" w:ascii="仿宋_GB2312" w:hAnsi="仿宋_GB2312" w:eastAsia="仿宋_GB2312" w:cs="仿宋_GB2312"/>
          <w:sz w:val="32"/>
          <w:lang w:eastAsia="zh-CN"/>
        </w:rPr>
        <w:t>，</w:t>
      </w:r>
      <w:r>
        <w:rPr>
          <w:rFonts w:ascii="仿宋_GB2312" w:hAnsi="仿宋_GB2312" w:eastAsia="仿宋_GB2312" w:cs="仿宋_GB2312"/>
          <w:sz w:val="32"/>
        </w:rPr>
        <w:t>会同区财政局共同测算每亩补贴标准，并及时将相应资金下达到各街道。</w:t>
      </w:r>
    </w:p>
    <w:p>
      <w:pPr>
        <w:widowControl w:val="0"/>
        <w:spacing w:line="560" w:lineRule="exact"/>
        <w:ind w:firstLine="640" w:firstLineChars="200"/>
        <w:jc w:val="both"/>
        <w:rPr>
          <w:rFonts w:hint="default" w:ascii="楷体_GB2312" w:hAnsi="楷体_GB2312" w:eastAsia="楷体_GB2312" w:cs="楷体_GB2312"/>
          <w:sz w:val="32"/>
        </w:rPr>
      </w:pPr>
      <w:r>
        <w:rPr>
          <w:rFonts w:ascii="楷体_GB2312" w:hAnsi="楷体_GB2312" w:eastAsia="楷体_GB2312" w:cs="楷体_GB2312"/>
          <w:sz w:val="32"/>
        </w:rPr>
        <w:t>（四）资金拨付与数据录入</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1.</w:t>
      </w:r>
      <w:r>
        <w:rPr>
          <w:rFonts w:ascii="仿宋_GB2312" w:hAnsi="仿宋_GB2312" w:eastAsia="仿宋_GB2312" w:cs="仿宋_GB2312"/>
          <w:sz w:val="32"/>
        </w:rPr>
        <w:t>各街道接到上级拨付资金后应及时委托金融机构通过“一卡通”于6月25日前足额发放到户。</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2.资金发放完成后的5个工作日内，由各街道录入福建省乡村振兴（扶贫惠民）资金在线监管平台。</w:t>
      </w:r>
    </w:p>
    <w:p>
      <w:pPr>
        <w:widowControl w:val="0"/>
        <w:spacing w:line="560" w:lineRule="exact"/>
        <w:ind w:firstLine="640" w:firstLineChars="200"/>
        <w:jc w:val="both"/>
        <w:rPr>
          <w:rFonts w:hint="default" w:ascii="仿宋_GB2312" w:hAnsi="仿宋_GB2312" w:eastAsia="仿宋_GB2312" w:cs="仿宋_GB2312"/>
          <w:sz w:val="32"/>
        </w:rPr>
      </w:pPr>
      <w:r>
        <w:rPr>
          <w:rFonts w:ascii="仿宋_GB2312" w:hAnsi="仿宋_GB2312" w:eastAsia="仿宋_GB2312" w:cs="仿宋_GB2312"/>
          <w:sz w:val="32"/>
        </w:rPr>
        <w:t>3.补贴资金需严格按照资金使用管理和国库集中支付制度有关规定及时兑付，区农业农村和水利局、区财政局予以指导。</w:t>
      </w:r>
    </w:p>
    <w:p>
      <w:pPr>
        <w:widowControl w:val="0"/>
        <w:spacing w:line="560" w:lineRule="exact"/>
        <w:ind w:firstLine="640" w:firstLineChars="200"/>
        <w:jc w:val="both"/>
        <w:rPr>
          <w:rFonts w:hint="default" w:ascii="黑体" w:hAnsi="黑体" w:eastAsia="黑体" w:cs="黑体"/>
          <w:sz w:val="32"/>
        </w:rPr>
      </w:pPr>
      <w:r>
        <w:rPr>
          <w:rFonts w:ascii="黑体" w:hAnsi="黑体" w:eastAsia="黑体" w:cs="黑体"/>
          <w:sz w:val="32"/>
        </w:rPr>
        <w:t>六、工作要求</w:t>
      </w:r>
    </w:p>
    <w:p>
      <w:pPr>
        <w:widowControl w:val="0"/>
        <w:spacing w:line="560" w:lineRule="exact"/>
        <w:ind w:firstLine="640" w:firstLineChars="200"/>
        <w:jc w:val="both"/>
        <w:rPr>
          <w:rFonts w:hint="default" w:ascii="仿宋_GB2312" w:hAnsi="仿宋_GB2312" w:eastAsia="仿宋_GB2312" w:cs="仿宋_GB2312"/>
          <w:sz w:val="32"/>
        </w:rPr>
      </w:pPr>
      <w:r>
        <w:rPr>
          <w:rFonts w:ascii="楷体_GB2312" w:hAnsi="楷体_GB2312" w:eastAsia="楷体_GB2312" w:cs="楷体_GB2312"/>
          <w:sz w:val="32"/>
        </w:rPr>
        <w:t>（一）加强组织协作。</w:t>
      </w:r>
      <w:r>
        <w:rPr>
          <w:rFonts w:ascii="仿宋_GB2312" w:hAnsi="仿宋_GB2312" w:eastAsia="仿宋_GB2312" w:cs="仿宋_GB2312"/>
          <w:sz w:val="32"/>
        </w:rPr>
        <w:t>耕地地力保护补贴发放工作由县级负总责，各级明确专人负责。</w:t>
      </w:r>
      <w:r>
        <w:rPr>
          <w:rFonts w:ascii="仿宋_GB2312" w:hAnsi="仿宋_GB2312" w:eastAsia="仿宋_GB2312" w:cs="仿宋_GB2312"/>
          <w:b/>
          <w:bCs/>
          <w:sz w:val="32"/>
        </w:rPr>
        <w:t>街道和村（居）</w:t>
      </w:r>
      <w:r>
        <w:rPr>
          <w:rFonts w:ascii="仿宋_GB2312" w:hAnsi="仿宋_GB2312" w:eastAsia="仿宋_GB2312" w:cs="仿宋_GB2312"/>
          <w:sz w:val="32"/>
        </w:rPr>
        <w:t>落实补贴发放工作，对补贴对象和补贴面积的真实性负责。</w:t>
      </w:r>
      <w:r>
        <w:rPr>
          <w:rFonts w:ascii="仿宋_GB2312" w:hAnsi="仿宋_GB2312" w:eastAsia="仿宋_GB2312" w:cs="仿宋_GB2312"/>
          <w:b/>
          <w:bCs/>
          <w:sz w:val="32"/>
        </w:rPr>
        <w:t>区农业农村和水利局</w:t>
      </w:r>
      <w:r>
        <w:rPr>
          <w:rFonts w:ascii="仿宋_GB2312" w:hAnsi="仿宋_GB2312" w:eastAsia="仿宋_GB2312" w:cs="仿宋_GB2312"/>
          <w:sz w:val="32"/>
        </w:rPr>
        <w:t>牵头，强化培训、指导和服务工作，会同财政部门编制实施方案，组织实施补贴发放、补贴信息公开等工作，每年抽取10%的</w:t>
      </w:r>
      <w:r>
        <w:rPr>
          <w:rFonts w:hint="eastAsia" w:ascii="仿宋_GB2312" w:hAnsi="仿宋_GB2312" w:eastAsia="仿宋_GB2312" w:cs="仿宋_GB2312"/>
          <w:sz w:val="32"/>
          <w:lang w:eastAsia="zh-CN"/>
        </w:rPr>
        <w:t>补贴对象</w:t>
      </w:r>
      <w:r>
        <w:rPr>
          <w:rFonts w:ascii="仿宋_GB2312" w:hAnsi="仿宋_GB2312" w:eastAsia="仿宋_GB2312" w:cs="仿宋_GB2312"/>
          <w:sz w:val="32"/>
        </w:rPr>
        <w:t>开展实地核查。</w:t>
      </w:r>
      <w:r>
        <w:rPr>
          <w:rFonts w:ascii="仿宋_GB2312" w:hAnsi="仿宋_GB2312" w:eastAsia="仿宋_GB2312" w:cs="仿宋_GB2312"/>
          <w:b/>
          <w:bCs/>
          <w:sz w:val="32"/>
        </w:rPr>
        <w:t>区财政局</w:t>
      </w:r>
      <w:r>
        <w:rPr>
          <w:rFonts w:ascii="仿宋_GB2312" w:hAnsi="仿宋_GB2312" w:eastAsia="仿宋_GB2312" w:cs="仿宋_GB2312"/>
          <w:sz w:val="32"/>
        </w:rPr>
        <w:t>负责审核区农业农村和水利局提供的补贴发放相关数据，拨付补贴资金，补贴资金监管、重点绩效评价，配合区农业农村和水利局制定实施方案。</w:t>
      </w:r>
    </w:p>
    <w:p>
      <w:pPr>
        <w:widowControl w:val="0"/>
        <w:spacing w:line="560" w:lineRule="exact"/>
        <w:ind w:firstLine="640" w:firstLineChars="200"/>
        <w:jc w:val="both"/>
        <w:rPr>
          <w:rFonts w:hint="default" w:ascii="仿宋_GB2312" w:hAnsi="仿宋_GB2312" w:eastAsia="仿宋_GB2312" w:cs="仿宋_GB2312"/>
          <w:sz w:val="32"/>
        </w:rPr>
      </w:pPr>
      <w:r>
        <w:rPr>
          <w:rFonts w:ascii="楷体_GB2312" w:hAnsi="楷体_GB2312" w:eastAsia="楷体_GB2312" w:cs="楷体_GB2312"/>
          <w:sz w:val="32"/>
        </w:rPr>
        <w:t>（二）做好政策宣传。</w:t>
      </w:r>
      <w:r>
        <w:rPr>
          <w:rFonts w:ascii="仿宋_GB2312" w:hAnsi="仿宋_GB2312" w:eastAsia="仿宋_GB2312" w:cs="仿宋_GB2312"/>
          <w:sz w:val="32"/>
        </w:rPr>
        <w:t>强化政策解读，引导</w:t>
      </w:r>
      <w:r>
        <w:rPr>
          <w:rFonts w:hint="eastAsia" w:ascii="仿宋_GB2312" w:hAnsi="仿宋_GB2312" w:eastAsia="仿宋_GB2312" w:cs="仿宋_GB2312"/>
          <w:sz w:val="32"/>
          <w:lang w:eastAsia="zh-CN"/>
        </w:rPr>
        <w:t>街、村</w:t>
      </w:r>
      <w:r>
        <w:rPr>
          <w:rFonts w:ascii="仿宋_GB2312" w:hAnsi="仿宋_GB2312" w:eastAsia="仿宋_GB2312" w:cs="仿宋_GB2312"/>
          <w:sz w:val="32"/>
        </w:rPr>
        <w:t>干部，准确把握政策目标和管理要求，</w:t>
      </w:r>
      <w:r>
        <w:rPr>
          <w:rFonts w:hint="eastAsia" w:ascii="仿宋_GB2312" w:hAnsi="仿宋_GB2312" w:eastAsia="仿宋_GB2312" w:cs="仿宋_GB2312"/>
          <w:sz w:val="32"/>
          <w:lang w:eastAsia="zh-CN"/>
        </w:rPr>
        <w:t>并</w:t>
      </w:r>
      <w:r>
        <w:rPr>
          <w:rFonts w:ascii="仿宋_GB2312" w:hAnsi="仿宋_GB2312" w:eastAsia="仿宋_GB2312" w:cs="仿宋_GB2312"/>
          <w:sz w:val="32"/>
        </w:rPr>
        <w:t>加强对农民政策宣传，通过公示、宣传手册等渠道，重点明确补贴政策与耕地地力保护责任相挂钩的任务要求，调动农民群众自觉保护耕地提升地力的积极性和主动性，贯彻落实好</w:t>
      </w:r>
      <w:r>
        <w:rPr>
          <w:rFonts w:hint="eastAsia" w:ascii="仿宋_GB2312" w:hAnsi="仿宋_GB2312" w:eastAsia="仿宋_GB2312" w:cs="仿宋_GB2312"/>
          <w:sz w:val="32"/>
          <w:lang w:eastAsia="zh-CN"/>
        </w:rPr>
        <w:t>该项</w:t>
      </w:r>
      <w:r>
        <w:rPr>
          <w:rFonts w:ascii="仿宋_GB2312" w:hAnsi="仿宋_GB2312" w:eastAsia="仿宋_GB2312" w:cs="仿宋_GB2312"/>
          <w:sz w:val="32"/>
        </w:rPr>
        <w:t>强农惠农政策。</w:t>
      </w:r>
    </w:p>
    <w:p>
      <w:pPr>
        <w:widowControl w:val="0"/>
        <w:spacing w:line="560" w:lineRule="exact"/>
        <w:ind w:firstLine="640" w:firstLineChars="200"/>
        <w:jc w:val="both"/>
        <w:rPr>
          <w:rFonts w:hint="default" w:ascii="仿宋_GB2312" w:hAnsi="仿宋_GB2312" w:eastAsia="仿宋_GB2312" w:cs="仿宋_GB2312"/>
          <w:sz w:val="32"/>
        </w:rPr>
      </w:pPr>
      <w:r>
        <w:rPr>
          <w:rFonts w:ascii="楷体_GB2312" w:hAnsi="楷体_GB2312" w:eastAsia="楷体_GB2312" w:cs="楷体_GB2312"/>
          <w:sz w:val="32"/>
        </w:rPr>
        <w:t>（三）健全档案管理。</w:t>
      </w:r>
      <w:r>
        <w:rPr>
          <w:rFonts w:ascii="仿宋_GB2312" w:hAnsi="仿宋_GB2312" w:eastAsia="仿宋_GB2312" w:cs="仿宋_GB2312"/>
          <w:sz w:val="32"/>
        </w:rPr>
        <w:t>村（居）委员会将公示无异议后的最终材料，签字盖章后报送至各街道留档。街道应加强补贴政策资料整理建档，存储好补贴电子档以备查询，严禁随意毁损或遗弃。村（居）应建立公示台</w:t>
      </w:r>
      <w:r>
        <w:rPr>
          <w:rFonts w:hint="eastAsia" w:ascii="仿宋_GB2312" w:hAnsi="仿宋_GB2312" w:eastAsia="仿宋_GB2312" w:cs="仿宋_GB2312"/>
          <w:sz w:val="32"/>
          <w:lang w:eastAsia="zh-CN"/>
        </w:rPr>
        <w:t>账</w:t>
      </w:r>
      <w:r>
        <w:rPr>
          <w:rFonts w:ascii="仿宋_GB2312" w:hAnsi="仿宋_GB2312" w:eastAsia="仿宋_GB2312" w:cs="仿宋_GB2312"/>
          <w:sz w:val="32"/>
        </w:rPr>
        <w:t>，便于日常管理及留样备查。</w:t>
      </w:r>
    </w:p>
    <w:p>
      <w:pPr>
        <w:widowControl w:val="0"/>
        <w:spacing w:line="560" w:lineRule="exact"/>
        <w:ind w:firstLine="640" w:firstLineChars="200"/>
        <w:jc w:val="both"/>
        <w:rPr>
          <w:rFonts w:hint="default" w:ascii="楷体_GB2312" w:hAnsi="楷体_GB2312" w:eastAsia="楷体_GB2312" w:cs="楷体_GB2312"/>
          <w:sz w:val="32"/>
        </w:rPr>
      </w:pPr>
      <w:r>
        <w:rPr>
          <w:rFonts w:ascii="楷体_GB2312" w:hAnsi="楷体_GB2312" w:eastAsia="楷体_GB2312" w:cs="楷体_GB2312"/>
          <w:sz w:val="32"/>
        </w:rPr>
        <w:t>（四）规范公示信息。</w:t>
      </w:r>
      <w:r>
        <w:rPr>
          <w:rFonts w:ascii="仿宋_GB2312" w:hAnsi="仿宋_GB2312" w:eastAsia="仿宋_GB2312" w:cs="仿宋_GB2312"/>
          <w:sz w:val="32"/>
        </w:rPr>
        <w:t>除在村级公示栏或基层小微权力群公示信息外，</w:t>
      </w:r>
      <w:r>
        <w:rPr>
          <w:rFonts w:hint="eastAsia" w:ascii="仿宋_GB2312" w:hAnsi="仿宋_GB2312" w:eastAsia="仿宋_GB2312" w:cs="仿宋_GB2312"/>
          <w:sz w:val="32"/>
          <w:lang w:eastAsia="zh-CN"/>
        </w:rPr>
        <w:t>各街道需</w:t>
      </w:r>
      <w:r>
        <w:rPr>
          <w:rFonts w:ascii="仿宋_GB2312" w:hAnsi="仿宋_GB2312" w:eastAsia="仿宋_GB2312" w:cs="仿宋_GB2312"/>
          <w:sz w:val="32"/>
        </w:rPr>
        <w:t>在政府网站上同步进行公示。公示信息在保护个人身份信息和隐私安全前提下，做到应公开尽公开。公示内容原则上包含公示通知、公示表格两部分。公示通知应明确公示事项，涉及资金情况（总金额、后附表格页数等），公示时长，联系人、联系电话等。公示表格应包含序号、姓名、补贴金额（精确到分）、补贴标准、页码等基本信息。</w:t>
      </w:r>
      <w:r>
        <w:rPr>
          <w:rFonts w:ascii="楷体_GB2312" w:hAnsi="楷体_GB2312" w:eastAsia="楷体_GB2312" w:cs="楷体_GB2312"/>
          <w:sz w:val="32"/>
        </w:rPr>
        <w:t xml:space="preserve">         </w:t>
      </w:r>
    </w:p>
    <w:p>
      <w:pPr>
        <w:widowControl w:val="0"/>
        <w:spacing w:line="560" w:lineRule="exact"/>
        <w:ind w:firstLine="640" w:firstLineChars="200"/>
        <w:jc w:val="both"/>
        <w:rPr>
          <w:rFonts w:hint="default" w:ascii="仿宋_GB2312" w:hAnsi="仿宋_GB2312" w:eastAsia="仿宋_GB2312" w:cs="仿宋_GB2312"/>
          <w:sz w:val="32"/>
        </w:rPr>
      </w:pPr>
      <w:r>
        <w:rPr>
          <w:rFonts w:ascii="楷体_GB2312" w:hAnsi="楷体_GB2312" w:eastAsia="楷体_GB2312" w:cs="楷体_GB2312"/>
          <w:sz w:val="32"/>
        </w:rPr>
        <w:t>（五）强化资金管理。</w:t>
      </w:r>
      <w:r>
        <w:rPr>
          <w:rFonts w:ascii="仿宋_GB2312" w:hAnsi="仿宋_GB2312" w:eastAsia="仿宋_GB2312" w:cs="仿宋_GB2312"/>
          <w:sz w:val="32"/>
        </w:rPr>
        <w:t>严格规范使用补贴资金，确保专款专用，严禁任何单位和个人虚报耕地地力补贴面积，不得滞留截留、虚报冒领、挪占挪用补贴资金，不得用补贴资金抵扣各种债务和欠款。经村民多数或村民代表会议同意，允许从耕地地力</w:t>
      </w:r>
      <w:r>
        <w:rPr>
          <w:rFonts w:hint="eastAsia" w:ascii="仿宋_GB2312" w:hAnsi="仿宋_GB2312" w:eastAsia="仿宋_GB2312" w:cs="仿宋_GB2312"/>
          <w:sz w:val="32"/>
          <w:lang w:eastAsia="zh-CN"/>
        </w:rPr>
        <w:t>保护</w:t>
      </w:r>
      <w:r>
        <w:rPr>
          <w:rFonts w:ascii="仿宋_GB2312" w:hAnsi="仿宋_GB2312" w:eastAsia="仿宋_GB2312" w:cs="仿宋_GB2312"/>
          <w:sz w:val="32"/>
        </w:rPr>
        <w:t>补贴资金中代交水稻保险保费中农民承担的部分。出现违纪违规违法行为的，按照有关规定追究相应责任。</w:t>
      </w:r>
    </w:p>
    <w:p>
      <w:pPr>
        <w:widowControl w:val="0"/>
        <w:spacing w:line="560" w:lineRule="exact"/>
        <w:ind w:firstLine="640" w:firstLineChars="200"/>
        <w:jc w:val="both"/>
        <w:rPr>
          <w:rFonts w:hint="default" w:ascii="仿宋_GB2312" w:hAnsi="仿宋_GB2312" w:eastAsia="仿宋_GB2312" w:cs="仿宋_GB2312"/>
          <w:sz w:val="32"/>
        </w:rPr>
      </w:pPr>
      <w:r>
        <w:rPr>
          <w:rFonts w:ascii="楷体_GB2312" w:hAnsi="楷体_GB2312" w:eastAsia="楷体_GB2312" w:cs="楷体_GB2312"/>
          <w:sz w:val="32"/>
        </w:rPr>
        <w:t>（六）加强监督检查。</w:t>
      </w:r>
      <w:r>
        <w:rPr>
          <w:rFonts w:ascii="仿宋_GB2312" w:hAnsi="仿宋_GB2312" w:eastAsia="仿宋_GB2312" w:cs="仿宋_GB2312"/>
          <w:sz w:val="32"/>
        </w:rPr>
        <w:t>各级农业农村、财政部门要建立健全工作机制，采取日常监管、随机抽查、重点检查等方式，加强补贴发放各环节监管。加强信访处理，积极回应群众关切，及时发现并纠正补贴发放中存在的问题，维护农户合法权益。对骗取、贪污、挤占、挪用或违规发放等行为，依法依规严肃处理。街道要公开监督举报电话，听取农民群众意见，接受群众监督。</w:t>
      </w:r>
    </w:p>
    <w:p>
      <w:pPr>
        <w:widowControl w:val="0"/>
        <w:spacing w:line="560" w:lineRule="exact"/>
        <w:ind w:firstLine="640" w:firstLineChars="200"/>
        <w:jc w:val="both"/>
        <w:rPr>
          <w:rFonts w:hint="default" w:ascii="仿宋_GB2312" w:hAnsi="仿宋_GB2312" w:eastAsia="仿宋_GB2312" w:cs="仿宋_GB2312"/>
          <w:sz w:val="32"/>
        </w:rPr>
      </w:pPr>
      <w:r>
        <w:rPr>
          <w:rFonts w:ascii="楷体_GB2312" w:hAnsi="楷体_GB2312" w:eastAsia="楷体_GB2312" w:cs="楷体_GB2312"/>
          <w:sz w:val="32"/>
        </w:rPr>
        <w:t>（七）序时推进工作。</w:t>
      </w:r>
      <w:r>
        <w:rPr>
          <w:rFonts w:ascii="仿宋_GB2312" w:hAnsi="仿宋_GB2312" w:eastAsia="仿宋_GB2312" w:cs="仿宋_GB2312"/>
          <w:sz w:val="32"/>
        </w:rPr>
        <w:t>3月底前完成村级登记工作，4月底前完成街道审核工作，6月25日前将补贴资金通过“一卡通”足额发放到户，并在5个工作日内完成福建省乡村振兴（扶贫惠民）资金在线监管平台、农业农村部转移支付管理平台以及福建省农业农村厅财政资金上报系统，相关数据录入任务。</w:t>
      </w:r>
    </w:p>
    <w:p>
      <w:pPr>
        <w:widowControl w:val="0"/>
        <w:spacing w:line="560" w:lineRule="exact"/>
        <w:ind w:firstLine="640" w:firstLineChars="200"/>
        <w:jc w:val="both"/>
        <w:rPr>
          <w:rFonts w:hint="default" w:ascii="仿宋_GB2312" w:hAnsi="仿宋_GB2312" w:eastAsia="仿宋_GB2312" w:cs="仿宋_GB2312"/>
          <w:sz w:val="32"/>
        </w:rPr>
      </w:pPr>
      <w:r>
        <w:rPr>
          <w:rFonts w:ascii="楷体_GB2312" w:hAnsi="楷体_GB2312" w:eastAsia="楷体_GB2312" w:cs="楷体_GB2312"/>
          <w:sz w:val="32"/>
        </w:rPr>
        <w:t>（八）落实报告制度。</w:t>
      </w:r>
      <w:r>
        <w:rPr>
          <w:rFonts w:ascii="仿宋_GB2312" w:hAnsi="仿宋_GB2312" w:eastAsia="仿宋_GB2312" w:cs="仿宋_GB2312"/>
          <w:sz w:val="32"/>
        </w:rPr>
        <w:t>资金发放完成后</w:t>
      </w:r>
      <w:r>
        <w:rPr>
          <w:rFonts w:hint="eastAsia" w:ascii="仿宋_GB2312" w:hAnsi="仿宋_GB2312" w:eastAsia="仿宋_GB2312" w:cs="仿宋_GB2312"/>
          <w:sz w:val="32"/>
          <w:lang w:val="en-US" w:eastAsia="zh-CN"/>
        </w:rPr>
        <w:t>7</w:t>
      </w:r>
      <w:r>
        <w:rPr>
          <w:rFonts w:ascii="仿宋_GB2312" w:hAnsi="仿宋_GB2312" w:eastAsia="仿宋_GB2312" w:cs="仿宋_GB2312"/>
          <w:sz w:val="32"/>
        </w:rPr>
        <w:t>个工作日内，由各街道分别向区农业农村和水利局及区财政局报送补贴资金发放工作情况并附“一卡通”发放银行流水账单。</w:t>
      </w:r>
    </w:p>
    <w:p>
      <w:pPr>
        <w:pStyle w:val="26"/>
        <w:widowControl w:val="0"/>
        <w:spacing w:line="560" w:lineRule="exact"/>
        <w:jc w:val="both"/>
        <w:rPr>
          <w:rFonts w:hint="default"/>
        </w:rPr>
      </w:pPr>
    </w:p>
    <w:p>
      <w:pPr>
        <w:widowControl w:val="0"/>
        <w:spacing w:line="560" w:lineRule="exact"/>
        <w:ind w:firstLine="640" w:firstLineChars="200"/>
        <w:rPr>
          <w:rFonts w:hint="default" w:ascii="仿宋_GB2312" w:hAnsi="仿宋_GB2312" w:eastAsia="仿宋_GB2312" w:cs="仿宋_GB2312"/>
          <w:sz w:val="32"/>
        </w:rPr>
      </w:pPr>
      <w:r>
        <w:rPr>
          <w:rFonts w:ascii="仿宋_GB2312" w:hAnsi="仿宋_GB2312" w:eastAsia="仿宋_GB2312" w:cs="仿宋_GB2312"/>
          <w:sz w:val="32"/>
        </w:rPr>
        <w:t>附件：1.2025年耕地地力补贴结余资金、面积情况表</w:t>
      </w:r>
    </w:p>
    <w:p>
      <w:pPr>
        <w:pStyle w:val="26"/>
        <w:widowControl w:val="0"/>
        <w:spacing w:line="560" w:lineRule="exact"/>
        <w:ind w:firstLine="1600" w:firstLineChars="500"/>
        <w:rPr>
          <w:rFonts w:hint="default"/>
        </w:rPr>
      </w:pPr>
      <w:r>
        <w:rPr>
          <w:rFonts w:ascii="仿宋_GB2312" w:hAnsi="仿宋_GB2312" w:cs="仿宋_GB2312"/>
        </w:rPr>
        <w:t>2.2025年耕地地力保护补贴清册</w:t>
      </w:r>
    </w:p>
    <w:p>
      <w:pPr>
        <w:widowControl w:val="0"/>
        <w:spacing w:line="560" w:lineRule="exact"/>
        <w:rPr>
          <w:rFonts w:hint="default" w:ascii="黑体" w:hAnsi="黑体" w:eastAsia="黑体" w:cs="黑体"/>
          <w:sz w:val="32"/>
        </w:rPr>
      </w:pPr>
      <w:r>
        <w:rPr>
          <w:rFonts w:ascii="仿宋_GB2312" w:hAnsi="仿宋_GB2312" w:eastAsia="仿宋_GB2312" w:cs="仿宋_GB2312"/>
          <w:sz w:val="32"/>
        </w:rPr>
        <w:br w:type="page"/>
      </w:r>
      <w:r>
        <w:rPr>
          <w:rFonts w:ascii="黑体" w:hAnsi="黑体" w:eastAsia="黑体" w:cs="黑体"/>
          <w:sz w:val="32"/>
        </w:rPr>
        <w:t>附件1</w:t>
      </w:r>
    </w:p>
    <w:p>
      <w:pPr>
        <w:pStyle w:val="26"/>
        <w:widowControl w:val="0"/>
        <w:spacing w:line="560" w:lineRule="exact"/>
        <w:rPr>
          <w:rFonts w:hint="default" w:ascii="黑体" w:hAnsi="黑体" w:eastAsia="黑体" w:cs="黑体"/>
        </w:rPr>
      </w:pPr>
    </w:p>
    <w:p>
      <w:pPr>
        <w:pStyle w:val="26"/>
        <w:widowControl w:val="0"/>
        <w:spacing w:line="560" w:lineRule="exact"/>
        <w:jc w:val="center"/>
        <w:rPr>
          <w:rFonts w:hint="default" w:ascii="方正小标宋简体" w:hAnsi="方正小标宋简体" w:eastAsia="方正小标宋简体" w:cs="方正小标宋简体"/>
          <w:kern w:val="2"/>
          <w:sz w:val="40"/>
          <w:szCs w:val="40"/>
        </w:rPr>
      </w:pPr>
      <w:r>
        <w:rPr>
          <w:rFonts w:ascii="方正小标宋简体" w:hAnsi="方正小标宋简体" w:eastAsia="方正小标宋简体" w:cs="方正小标宋简体"/>
          <w:kern w:val="2"/>
          <w:sz w:val="40"/>
          <w:szCs w:val="40"/>
        </w:rPr>
        <w:t>2025年耕地地力补贴结余资金、面积情况表</w:t>
      </w:r>
    </w:p>
    <w:tbl>
      <w:tblPr>
        <w:tblStyle w:val="22"/>
        <w:tblW w:w="8860" w:type="dxa"/>
        <w:tblInd w:w="93" w:type="dxa"/>
        <w:tblLayout w:type="fixed"/>
        <w:tblCellMar>
          <w:top w:w="0" w:type="dxa"/>
          <w:left w:w="108" w:type="dxa"/>
          <w:bottom w:w="0" w:type="dxa"/>
          <w:right w:w="108" w:type="dxa"/>
        </w:tblCellMar>
      </w:tblPr>
      <w:tblGrid>
        <w:gridCol w:w="1831"/>
        <w:gridCol w:w="2016"/>
        <w:gridCol w:w="2467"/>
        <w:gridCol w:w="2546"/>
      </w:tblGrid>
      <w:tr>
        <w:tblPrEx>
          <w:tblCellMar>
            <w:top w:w="0" w:type="dxa"/>
            <w:left w:w="108" w:type="dxa"/>
            <w:bottom w:w="0" w:type="dxa"/>
            <w:right w:w="108" w:type="dxa"/>
          </w:tblCellMar>
        </w:tblPrEx>
        <w:trPr>
          <w:trHeight w:val="571" w:hRule="atLeast"/>
        </w:trPr>
        <w:tc>
          <w:tcPr>
            <w:tcW w:w="6314" w:type="dxa"/>
            <w:gridSpan w:val="3"/>
            <w:tcBorders>
              <w:top w:val="nil"/>
              <w:left w:val="nil"/>
              <w:bottom w:val="nil"/>
              <w:right w:val="nil"/>
            </w:tcBorders>
            <w:noWrap/>
            <w:vAlign w:val="center"/>
          </w:tcPr>
          <w:p>
            <w:pPr>
              <w:widowControl w:val="0"/>
              <w:spacing w:line="560" w:lineRule="exact"/>
              <w:textAlignment w:val="center"/>
              <w:rPr>
                <w:rFonts w:hint="default" w:ascii="仿宋_GB2312" w:eastAsia="仿宋_GB2312" w:cs="仿宋_GB2312"/>
                <w:color w:val="000000"/>
              </w:rPr>
            </w:pPr>
            <w:r>
              <w:rPr>
                <w:rFonts w:ascii="仿宋_GB2312" w:eastAsia="仿宋_GB2312" w:cs="仿宋_GB2312"/>
                <w:color w:val="000000"/>
                <w:lang w:bidi="ar"/>
              </w:rPr>
              <w:t>街道（盖章）：</w:t>
            </w:r>
          </w:p>
        </w:tc>
        <w:tc>
          <w:tcPr>
            <w:tcW w:w="2546" w:type="dxa"/>
            <w:tcBorders>
              <w:top w:val="nil"/>
              <w:left w:val="nil"/>
              <w:bottom w:val="nil"/>
              <w:right w:val="nil"/>
            </w:tcBorders>
            <w:noWrap/>
            <w:vAlign w:val="center"/>
          </w:tcPr>
          <w:p>
            <w:pPr>
              <w:widowControl w:val="0"/>
              <w:spacing w:line="560" w:lineRule="exact"/>
              <w:textAlignment w:val="center"/>
              <w:rPr>
                <w:rFonts w:hint="default" w:ascii="仿宋_GB2312" w:eastAsia="仿宋_GB2312" w:cs="仿宋_GB2312"/>
                <w:color w:val="000000"/>
              </w:rPr>
            </w:pPr>
            <w:r>
              <w:rPr>
                <w:rFonts w:ascii="仿宋_GB2312" w:eastAsia="仿宋_GB2312" w:cs="仿宋_GB2312"/>
                <w:color w:val="000000"/>
                <w:lang w:bidi="ar"/>
              </w:rPr>
              <w:t>单位：元、亩、户</w:t>
            </w:r>
          </w:p>
        </w:tc>
      </w:tr>
      <w:tr>
        <w:tblPrEx>
          <w:tblCellMar>
            <w:top w:w="0" w:type="dxa"/>
            <w:left w:w="108" w:type="dxa"/>
            <w:bottom w:w="0" w:type="dxa"/>
            <w:right w:w="108" w:type="dxa"/>
          </w:tblCellMar>
        </w:tblPrEx>
        <w:trPr>
          <w:trHeight w:val="672" w:hRule="atLeast"/>
        </w:trPr>
        <w:tc>
          <w:tcPr>
            <w:tcW w:w="1831"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textAlignment w:val="center"/>
              <w:rPr>
                <w:rFonts w:hint="default" w:ascii="仿宋_GB2312" w:eastAsia="仿宋_GB2312" w:cs="仿宋_GB2312"/>
                <w:color w:val="000000"/>
              </w:rPr>
            </w:pPr>
            <w:r>
              <w:rPr>
                <w:rFonts w:ascii="仿宋_GB2312" w:eastAsia="仿宋_GB2312" w:cs="仿宋_GB2312"/>
                <w:color w:val="000000"/>
                <w:lang w:bidi="ar"/>
              </w:rPr>
              <w:t>村（居）</w:t>
            </w:r>
          </w:p>
        </w:tc>
        <w:tc>
          <w:tcPr>
            <w:tcW w:w="2016" w:type="dxa"/>
            <w:vMerge w:val="restart"/>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textAlignment w:val="center"/>
              <w:rPr>
                <w:rFonts w:hint="default" w:ascii="仿宋_GB2312" w:eastAsia="仿宋_GB2312" w:cs="仿宋_GB2312"/>
                <w:color w:val="000000"/>
              </w:rPr>
            </w:pPr>
            <w:r>
              <w:rPr>
                <w:rFonts w:ascii="仿宋_GB2312" w:eastAsia="仿宋_GB2312" w:cs="仿宋_GB2312"/>
                <w:color w:val="000000"/>
                <w:lang w:bidi="ar"/>
              </w:rPr>
              <w:t>2024结余资金</w:t>
            </w:r>
            <w:r>
              <w:rPr>
                <w:rFonts w:ascii="仿宋_GB2312" w:eastAsia="仿宋_GB2312" w:cs="仿宋_GB2312"/>
                <w:color w:val="000000"/>
                <w:lang w:bidi="ar"/>
              </w:rPr>
              <w:br w:type="textWrapping"/>
            </w:r>
            <w:r>
              <w:rPr>
                <w:rFonts w:ascii="仿宋_GB2312" w:eastAsia="仿宋_GB2312" w:cs="仿宋_GB2312"/>
                <w:color w:val="000000"/>
                <w:lang w:bidi="ar"/>
              </w:rPr>
              <w:t>(不含工作经费）</w:t>
            </w:r>
          </w:p>
        </w:tc>
        <w:tc>
          <w:tcPr>
            <w:tcW w:w="5013" w:type="dxa"/>
            <w:gridSpan w:val="2"/>
            <w:tcBorders>
              <w:top w:val="single" w:color="000000" w:sz="4" w:space="0"/>
              <w:left w:val="single" w:color="000000" w:sz="4" w:space="0"/>
              <w:bottom w:val="single" w:color="000000" w:sz="4" w:space="0"/>
              <w:right w:val="single" w:color="000000" w:sz="4" w:space="0"/>
            </w:tcBorders>
            <w:noWrap/>
            <w:vAlign w:val="center"/>
          </w:tcPr>
          <w:p>
            <w:pPr>
              <w:widowControl w:val="0"/>
              <w:spacing w:line="560" w:lineRule="exact"/>
              <w:jc w:val="center"/>
              <w:textAlignment w:val="center"/>
              <w:rPr>
                <w:rFonts w:hint="default" w:ascii="仿宋_GB2312" w:eastAsia="仿宋_GB2312" w:cs="仿宋_GB2312"/>
                <w:color w:val="000000"/>
              </w:rPr>
            </w:pPr>
            <w:r>
              <w:rPr>
                <w:rFonts w:ascii="仿宋_GB2312" w:eastAsia="仿宋_GB2312" w:cs="仿宋_GB2312"/>
                <w:color w:val="000000"/>
                <w:lang w:bidi="ar"/>
              </w:rPr>
              <w:t>2025年发放情况</w:t>
            </w:r>
          </w:p>
        </w:tc>
      </w:tr>
      <w:tr>
        <w:tblPrEx>
          <w:tblCellMar>
            <w:top w:w="0" w:type="dxa"/>
            <w:left w:w="108" w:type="dxa"/>
            <w:bottom w:w="0" w:type="dxa"/>
            <w:right w:w="108" w:type="dxa"/>
          </w:tblCellMar>
        </w:tblPrEx>
        <w:trPr>
          <w:trHeight w:val="807" w:hRule="atLeast"/>
        </w:trPr>
        <w:tc>
          <w:tcPr>
            <w:tcW w:w="1831"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rPr>
            </w:pPr>
          </w:p>
        </w:tc>
        <w:tc>
          <w:tcPr>
            <w:tcW w:w="2016" w:type="dxa"/>
            <w:vMerge w:val="continue"/>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textAlignment w:val="center"/>
              <w:rPr>
                <w:rFonts w:hint="default" w:ascii="仿宋_GB2312" w:eastAsia="仿宋_GB2312" w:cs="仿宋_GB2312"/>
                <w:color w:val="000000"/>
              </w:rPr>
            </w:pPr>
            <w:r>
              <w:rPr>
                <w:rFonts w:ascii="仿宋_GB2312" w:eastAsia="仿宋_GB2312" w:cs="仿宋_GB2312"/>
                <w:color w:val="000000"/>
                <w:lang w:bidi="ar"/>
              </w:rPr>
              <w:t>2025年应补贴面积</w:t>
            </w: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textAlignment w:val="center"/>
              <w:rPr>
                <w:rFonts w:hint="default" w:ascii="仿宋_GB2312" w:eastAsia="仿宋_GB2312" w:cs="仿宋_GB2312"/>
                <w:color w:val="000000"/>
              </w:rPr>
            </w:pPr>
            <w:r>
              <w:rPr>
                <w:rFonts w:ascii="仿宋_GB2312" w:eastAsia="仿宋_GB2312" w:cs="仿宋_GB2312"/>
                <w:color w:val="000000"/>
                <w:lang w:bidi="ar"/>
              </w:rPr>
              <w:t>2025年应补贴户数</w:t>
            </w:r>
          </w:p>
        </w:tc>
      </w:tr>
      <w:tr>
        <w:tblPrEx>
          <w:tblCellMar>
            <w:top w:w="0" w:type="dxa"/>
            <w:left w:w="108" w:type="dxa"/>
            <w:bottom w:w="0" w:type="dxa"/>
            <w:right w:w="108" w:type="dxa"/>
          </w:tblCellMar>
        </w:tblPrEx>
        <w:trPr>
          <w:trHeight w:val="807" w:hRule="atLeast"/>
        </w:trPr>
        <w:tc>
          <w:tcPr>
            <w:tcW w:w="183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560" w:lineRule="exact"/>
              <w:jc w:val="center"/>
              <w:rPr>
                <w:rFonts w:hint="default" w:ascii="仿宋_GB2312" w:eastAsia="仿宋_GB2312" w:cs="仿宋_GB2312"/>
                <w:color w:val="000000"/>
              </w:rPr>
            </w:pPr>
          </w:p>
        </w:tc>
        <w:tc>
          <w:tcPr>
            <w:tcW w:w="2546"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560" w:lineRule="exact"/>
              <w:jc w:val="center"/>
              <w:rPr>
                <w:rFonts w:hint="default" w:ascii="仿宋_GB2312" w:eastAsia="仿宋_GB2312" w:cs="仿宋_GB2312"/>
                <w:color w:val="000000"/>
              </w:rPr>
            </w:pPr>
          </w:p>
        </w:tc>
      </w:tr>
      <w:tr>
        <w:tblPrEx>
          <w:tblCellMar>
            <w:top w:w="0" w:type="dxa"/>
            <w:left w:w="108" w:type="dxa"/>
            <w:bottom w:w="0" w:type="dxa"/>
            <w:right w:w="108" w:type="dxa"/>
          </w:tblCellMar>
        </w:tblPrEx>
        <w:trPr>
          <w:trHeight w:val="807" w:hRule="atLeast"/>
        </w:trPr>
        <w:tc>
          <w:tcPr>
            <w:tcW w:w="183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807" w:hRule="atLeast"/>
        </w:trPr>
        <w:tc>
          <w:tcPr>
            <w:tcW w:w="183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807" w:hRule="atLeast"/>
        </w:trPr>
        <w:tc>
          <w:tcPr>
            <w:tcW w:w="183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807" w:hRule="atLeast"/>
        </w:trPr>
        <w:tc>
          <w:tcPr>
            <w:tcW w:w="183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807" w:hRule="atLeast"/>
        </w:trPr>
        <w:tc>
          <w:tcPr>
            <w:tcW w:w="183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807" w:hRule="atLeast"/>
        </w:trPr>
        <w:tc>
          <w:tcPr>
            <w:tcW w:w="1831"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546"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702" w:hRule="atLeast"/>
        </w:trPr>
        <w:tc>
          <w:tcPr>
            <w:tcW w:w="1831"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560" w:lineRule="exact"/>
              <w:rPr>
                <w:rFonts w:hint="default" w:ascii="仿宋_GB2312" w:eastAsia="仿宋_GB2312" w:cs="仿宋_GB2312"/>
                <w:color w:val="000000"/>
                <w:sz w:val="22"/>
                <w:szCs w:val="22"/>
              </w:rPr>
            </w:pPr>
          </w:p>
        </w:tc>
        <w:tc>
          <w:tcPr>
            <w:tcW w:w="2016"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560" w:lineRule="exact"/>
              <w:rPr>
                <w:rFonts w:hint="default" w:ascii="仿宋_GB2312" w:eastAsia="仿宋_GB2312" w:cs="仿宋_GB2312"/>
                <w:color w:val="000000"/>
                <w:sz w:val="22"/>
                <w:szCs w:val="22"/>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val="0"/>
              <w:spacing w:line="560" w:lineRule="exact"/>
              <w:jc w:val="center"/>
              <w:rPr>
                <w:rFonts w:hint="default" w:ascii="仿宋_GB2312" w:eastAsia="仿宋_GB2312" w:cs="仿宋_GB2312"/>
                <w:color w:val="000000"/>
                <w:sz w:val="22"/>
                <w:szCs w:val="22"/>
              </w:rPr>
            </w:pPr>
          </w:p>
        </w:tc>
        <w:tc>
          <w:tcPr>
            <w:tcW w:w="2546" w:type="dxa"/>
            <w:tcBorders>
              <w:top w:val="single" w:color="000000" w:sz="4" w:space="0"/>
              <w:left w:val="single" w:color="000000" w:sz="4" w:space="0"/>
              <w:bottom w:val="single" w:color="000000" w:sz="4" w:space="0"/>
              <w:right w:val="single" w:color="000000" w:sz="4" w:space="0"/>
            </w:tcBorders>
            <w:noWrap/>
            <w:vAlign w:val="center"/>
          </w:tcPr>
          <w:p>
            <w:pPr>
              <w:widowControl w:val="0"/>
              <w:spacing w:line="560" w:lineRule="exact"/>
              <w:jc w:val="center"/>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596" w:hRule="atLeast"/>
        </w:trPr>
        <w:tc>
          <w:tcPr>
            <w:tcW w:w="6314" w:type="dxa"/>
            <w:gridSpan w:val="3"/>
            <w:tcBorders>
              <w:top w:val="nil"/>
              <w:left w:val="nil"/>
              <w:bottom w:val="nil"/>
              <w:right w:val="nil"/>
            </w:tcBorders>
            <w:noWrap/>
            <w:vAlign w:val="center"/>
          </w:tcPr>
          <w:p>
            <w:pPr>
              <w:widowControl w:val="0"/>
              <w:spacing w:line="560" w:lineRule="exact"/>
              <w:textAlignment w:val="center"/>
              <w:rPr>
                <w:rFonts w:hint="default" w:ascii="仿宋_GB2312" w:eastAsia="仿宋_GB2312" w:cs="仿宋_GB2312"/>
                <w:color w:val="000000"/>
                <w:sz w:val="22"/>
                <w:szCs w:val="22"/>
              </w:rPr>
            </w:pPr>
            <w:r>
              <w:rPr>
                <w:rFonts w:ascii="仿宋_GB2312" w:eastAsia="仿宋_GB2312" w:cs="仿宋_GB2312"/>
                <w:color w:val="000000"/>
                <w:sz w:val="22"/>
                <w:szCs w:val="22"/>
                <w:lang w:bidi="ar"/>
              </w:rPr>
              <w:t>注：分别报区农业农村和水利局、区财政局</w:t>
            </w:r>
          </w:p>
        </w:tc>
        <w:tc>
          <w:tcPr>
            <w:tcW w:w="2546" w:type="dxa"/>
            <w:tcBorders>
              <w:top w:val="nil"/>
              <w:left w:val="nil"/>
              <w:bottom w:val="nil"/>
              <w:right w:val="nil"/>
            </w:tcBorders>
            <w:noWrap/>
            <w:vAlign w:val="center"/>
          </w:tcPr>
          <w:p>
            <w:pPr>
              <w:widowControl w:val="0"/>
              <w:spacing w:line="560" w:lineRule="exact"/>
              <w:rPr>
                <w:rFonts w:hint="default" w:ascii="仿宋_GB2312" w:eastAsia="仿宋_GB2312" w:cs="仿宋_GB2312"/>
                <w:color w:val="000000"/>
                <w:sz w:val="22"/>
                <w:szCs w:val="22"/>
              </w:rPr>
            </w:pPr>
          </w:p>
        </w:tc>
      </w:tr>
      <w:tr>
        <w:tblPrEx>
          <w:tblCellMar>
            <w:top w:w="0" w:type="dxa"/>
            <w:left w:w="108" w:type="dxa"/>
            <w:bottom w:w="0" w:type="dxa"/>
            <w:right w:w="108" w:type="dxa"/>
          </w:tblCellMar>
        </w:tblPrEx>
        <w:trPr>
          <w:trHeight w:val="511" w:hRule="atLeast"/>
        </w:trPr>
        <w:tc>
          <w:tcPr>
            <w:tcW w:w="1831" w:type="dxa"/>
            <w:tcBorders>
              <w:top w:val="nil"/>
              <w:left w:val="nil"/>
              <w:bottom w:val="nil"/>
              <w:right w:val="nil"/>
            </w:tcBorders>
            <w:noWrap/>
            <w:vAlign w:val="center"/>
          </w:tcPr>
          <w:p>
            <w:pPr>
              <w:widowControl w:val="0"/>
              <w:spacing w:line="560" w:lineRule="exact"/>
              <w:textAlignment w:val="center"/>
              <w:rPr>
                <w:rFonts w:hint="default" w:ascii="仿宋_GB2312" w:eastAsia="仿宋_GB2312" w:cs="仿宋_GB2312"/>
                <w:color w:val="000000"/>
                <w:sz w:val="22"/>
                <w:szCs w:val="22"/>
              </w:rPr>
            </w:pPr>
            <w:r>
              <w:rPr>
                <w:rFonts w:ascii="仿宋_GB2312" w:eastAsia="仿宋_GB2312" w:cs="仿宋_GB2312"/>
                <w:color w:val="000000"/>
                <w:sz w:val="22"/>
                <w:szCs w:val="22"/>
                <w:lang w:bidi="ar"/>
              </w:rPr>
              <w:t>主要领导：</w:t>
            </w:r>
          </w:p>
        </w:tc>
        <w:tc>
          <w:tcPr>
            <w:tcW w:w="2016" w:type="dxa"/>
            <w:tcBorders>
              <w:top w:val="nil"/>
              <w:left w:val="nil"/>
              <w:bottom w:val="nil"/>
              <w:right w:val="nil"/>
            </w:tcBorders>
            <w:noWrap/>
            <w:vAlign w:val="center"/>
          </w:tcPr>
          <w:p>
            <w:pPr>
              <w:widowControl w:val="0"/>
              <w:spacing w:line="560" w:lineRule="exact"/>
              <w:rPr>
                <w:rFonts w:hint="default" w:ascii="仿宋_GB2312" w:eastAsia="仿宋_GB2312" w:cs="仿宋_GB2312"/>
                <w:color w:val="000000"/>
                <w:sz w:val="22"/>
                <w:szCs w:val="22"/>
              </w:rPr>
            </w:pPr>
          </w:p>
        </w:tc>
        <w:tc>
          <w:tcPr>
            <w:tcW w:w="2467" w:type="dxa"/>
            <w:tcBorders>
              <w:top w:val="nil"/>
              <w:left w:val="nil"/>
              <w:bottom w:val="nil"/>
              <w:right w:val="nil"/>
            </w:tcBorders>
            <w:noWrap/>
            <w:vAlign w:val="center"/>
          </w:tcPr>
          <w:p>
            <w:pPr>
              <w:widowControl w:val="0"/>
              <w:spacing w:line="560" w:lineRule="exact"/>
              <w:textAlignment w:val="center"/>
              <w:rPr>
                <w:rFonts w:hint="default" w:ascii="仿宋_GB2312" w:eastAsia="仿宋_GB2312" w:cs="仿宋_GB2312"/>
                <w:color w:val="000000"/>
                <w:sz w:val="22"/>
                <w:szCs w:val="22"/>
              </w:rPr>
            </w:pPr>
            <w:r>
              <w:rPr>
                <w:rFonts w:ascii="仿宋_GB2312" w:eastAsia="仿宋_GB2312" w:cs="仿宋_GB2312"/>
                <w:color w:val="000000"/>
                <w:sz w:val="22"/>
                <w:szCs w:val="22"/>
                <w:lang w:bidi="ar"/>
              </w:rPr>
              <w:t>分管领导：</w:t>
            </w:r>
          </w:p>
        </w:tc>
        <w:tc>
          <w:tcPr>
            <w:tcW w:w="2546" w:type="dxa"/>
            <w:tcBorders>
              <w:top w:val="nil"/>
              <w:left w:val="nil"/>
              <w:bottom w:val="nil"/>
              <w:right w:val="nil"/>
            </w:tcBorders>
            <w:noWrap/>
            <w:vAlign w:val="center"/>
          </w:tcPr>
          <w:p>
            <w:pPr>
              <w:widowControl w:val="0"/>
              <w:spacing w:line="560" w:lineRule="exact"/>
              <w:textAlignment w:val="center"/>
              <w:rPr>
                <w:rFonts w:hint="default" w:ascii="仿宋_GB2312" w:eastAsia="仿宋_GB2312" w:cs="仿宋_GB2312"/>
                <w:color w:val="000000"/>
                <w:sz w:val="22"/>
                <w:szCs w:val="22"/>
              </w:rPr>
            </w:pPr>
            <w:r>
              <w:rPr>
                <w:rFonts w:ascii="仿宋_GB2312" w:eastAsia="仿宋_GB2312" w:cs="仿宋_GB2312"/>
                <w:color w:val="000000"/>
                <w:sz w:val="22"/>
                <w:szCs w:val="22"/>
                <w:lang w:bidi="ar"/>
              </w:rPr>
              <w:t>经办人：</w:t>
            </w:r>
          </w:p>
        </w:tc>
      </w:tr>
    </w:tbl>
    <w:p>
      <w:pPr>
        <w:keepNext w:val="0"/>
        <w:keepLines w:val="0"/>
        <w:widowControl/>
        <w:suppressLineNumbers w:val="0"/>
        <w:jc w:val="left"/>
        <w:textAlignment w:val="auto"/>
        <w:rPr>
          <w:rFonts w:hint="eastAsia" w:ascii="宋体" w:hAnsi="宋体" w:eastAsia="宋体" w:cs="宋体"/>
          <w:i w:val="0"/>
          <w:iCs w:val="0"/>
          <w:color w:val="000000"/>
          <w:kern w:val="0"/>
          <w:sz w:val="28"/>
          <w:szCs w:val="28"/>
          <w:u w:val="none"/>
          <w:lang w:val="en-US" w:eastAsia="zh-CN" w:bidi="ar"/>
        </w:rPr>
        <w:sectPr>
          <w:footerReference r:id="rId3" w:type="default"/>
          <w:pgSz w:w="11915" w:h="16851"/>
          <w:pgMar w:top="2098" w:right="1474" w:bottom="1984" w:left="1587" w:header="851" w:footer="992" w:gutter="0"/>
          <w:cols w:space="720" w:num="1"/>
          <w:docGrid w:type="lines" w:linePitch="327" w:charSpace="0"/>
        </w:sectPr>
      </w:pPr>
      <w:r>
        <w:rPr>
          <w:rFonts w:hint="default" w:ascii="仿宋_GB2312" w:hAnsi="仿宋" w:cs="宋体"/>
          <w:sz w:val="28"/>
          <w:szCs w:val="28"/>
        </w:rPr>
        <w:br w:type="page"/>
      </w:r>
    </w:p>
    <w:tbl>
      <w:tblPr>
        <w:tblStyle w:val="22"/>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0"/>
        <w:gridCol w:w="835"/>
        <w:gridCol w:w="1522"/>
        <w:gridCol w:w="2164"/>
        <w:gridCol w:w="1371"/>
        <w:gridCol w:w="1715"/>
        <w:gridCol w:w="1864"/>
        <w:gridCol w:w="1414"/>
        <w:gridCol w:w="900"/>
        <w:tblGridChange w:id="0">
          <w:tblGrid>
            <w:gridCol w:w="758"/>
            <w:gridCol w:w="132"/>
            <w:gridCol w:w="835"/>
            <w:gridCol w:w="728"/>
            <w:gridCol w:w="794"/>
            <w:gridCol w:w="841"/>
            <w:gridCol w:w="1323"/>
            <w:gridCol w:w="1371"/>
            <w:gridCol w:w="1131"/>
            <w:gridCol w:w="584"/>
            <w:gridCol w:w="1486"/>
            <w:gridCol w:w="378"/>
            <w:gridCol w:w="1414"/>
            <w:gridCol w:w="900"/>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2675"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黑体" w:hAnsi="黑体" w:eastAsia="黑体" w:cs="黑体"/>
                <w:i w:val="0"/>
                <w:color w:val="auto"/>
                <w:kern w:val="0"/>
                <w:sz w:val="32"/>
                <w:szCs w:val="24"/>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2675"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2025年海沧区耕地地力保护补贴清册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wAfter w:w="0" w:type="auto"/>
          <w:trHeight w:val="509" w:hRule="atLeast"/>
        </w:trPr>
        <w:tc>
          <w:tcPr>
            <w:tcW w:w="1725" w:type="dxa"/>
            <w:gridSpan w:val="2"/>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街道</w:t>
            </w:r>
          </w:p>
        </w:tc>
        <w:tc>
          <w:tcPr>
            <w:tcW w:w="1522"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村</w:t>
            </w:r>
          </w:p>
        </w:tc>
        <w:tc>
          <w:tcPr>
            <w:tcW w:w="2164"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color w:val="000000"/>
                <w:sz w:val="28"/>
                <w:szCs w:val="28"/>
                <w:u w:val="none"/>
              </w:rPr>
            </w:pPr>
          </w:p>
        </w:tc>
        <w:tc>
          <w:tcPr>
            <w:tcW w:w="1371"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color w:val="000000"/>
                <w:sz w:val="28"/>
                <w:szCs w:val="28"/>
                <w:u w:val="none"/>
              </w:rPr>
            </w:pPr>
          </w:p>
        </w:tc>
        <w:tc>
          <w:tcPr>
            <w:tcW w:w="1715"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color w:val="000000"/>
                <w:sz w:val="28"/>
                <w:szCs w:val="28"/>
                <w:u w:val="none"/>
              </w:rPr>
            </w:pPr>
          </w:p>
        </w:tc>
        <w:tc>
          <w:tcPr>
            <w:tcW w:w="1864"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color w:val="000000"/>
                <w:sz w:val="28"/>
                <w:szCs w:val="28"/>
                <w:u w:val="none"/>
              </w:rPr>
            </w:pPr>
          </w:p>
        </w:tc>
        <w:tc>
          <w:tcPr>
            <w:tcW w:w="1414"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单位：亩</w:t>
            </w:r>
          </w:p>
        </w:tc>
        <w:tc>
          <w:tcPr>
            <w:tcW w:w="900" w:type="dxa"/>
            <w:tcBorders>
              <w:top w:val="nil"/>
              <w:left w:val="nil"/>
              <w:bottom w:val="nil"/>
              <w:right w:val="nil"/>
            </w:tcBorders>
            <w:shd w:val="clear" w:color="auto" w:fill="auto"/>
            <w:noWrap/>
            <w:vAlign w:val="center"/>
          </w:tcPr>
          <w:p>
            <w:pPr>
              <w:jc w:val="center"/>
              <w:rPr>
                <w:rFonts w:hint="eastAsia" w:ascii="方正小标宋简体" w:hAnsi="方正小标宋简体" w:eastAsia="方正小标宋简体" w:cs="方正小标宋简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序号</w:t>
            </w: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姓名</w:t>
            </w:r>
          </w:p>
        </w:tc>
        <w:tc>
          <w:tcPr>
            <w:tcW w:w="15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应补面积</w:t>
            </w: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确权/二轮承包或三调面积</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核减面积</w:t>
            </w:r>
          </w:p>
        </w:tc>
        <w:tc>
          <w:tcPr>
            <w:tcW w:w="17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身份证号</w:t>
            </w:r>
          </w:p>
        </w:tc>
        <w:tc>
          <w:tcPr>
            <w:tcW w:w="1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账号</w:t>
            </w:r>
          </w:p>
        </w:tc>
        <w:tc>
          <w:tcPr>
            <w:tcW w:w="14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联系电话</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28"/>
                <w:szCs w:val="2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8"/>
                <w:szCs w:val="2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21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7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3247" w:type="dxa"/>
            <w:gridSpan w:val="3"/>
            <w:tcBorders>
              <w:top w:val="nil"/>
              <w:left w:val="nil"/>
              <w:bottom w:val="nil"/>
              <w:right w:val="nil"/>
            </w:tcBorders>
            <w:shd w:val="clear" w:color="auto" w:fill="auto"/>
            <w:noWrap/>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主要负责人：</w:t>
            </w:r>
          </w:p>
        </w:tc>
        <w:tc>
          <w:tcPr>
            <w:tcW w:w="2164"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8"/>
                <w:szCs w:val="28"/>
                <w:u w:val="none"/>
              </w:rPr>
            </w:pPr>
          </w:p>
        </w:tc>
        <w:tc>
          <w:tcPr>
            <w:tcW w:w="3086"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分管负责人：</w:t>
            </w:r>
          </w:p>
        </w:tc>
        <w:tc>
          <w:tcPr>
            <w:tcW w:w="1864" w:type="dxa"/>
            <w:tcBorders>
              <w:top w:val="nil"/>
              <w:left w:val="nil"/>
              <w:bottom w:val="nil"/>
              <w:right w:val="nil"/>
            </w:tcBorders>
            <w:shd w:val="clear" w:color="auto" w:fill="auto"/>
            <w:noWrap/>
            <w:vAlign w:val="center"/>
          </w:tcPr>
          <w:p>
            <w:pPr>
              <w:rPr>
                <w:rFonts w:hint="eastAsia" w:ascii="宋体" w:hAnsi="宋体" w:eastAsia="宋体" w:cs="宋体"/>
                <w:i w:val="0"/>
                <w:color w:val="000000"/>
                <w:sz w:val="28"/>
                <w:szCs w:val="28"/>
                <w:u w:val="none"/>
              </w:rPr>
            </w:pPr>
          </w:p>
        </w:tc>
        <w:tc>
          <w:tcPr>
            <w:tcW w:w="2314" w:type="dxa"/>
            <w:gridSpan w:val="2"/>
            <w:tcBorders>
              <w:top w:val="nil"/>
              <w:left w:val="nil"/>
              <w:bottom w:val="nil"/>
              <w:right w:val="nil"/>
            </w:tcBorders>
            <w:shd w:val="clear" w:color="auto" w:fill="auto"/>
            <w:noWrap/>
            <w:vAlign w:val="center"/>
          </w:tcPr>
          <w:p>
            <w:pP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经办人员：</w:t>
            </w:r>
          </w:p>
        </w:tc>
      </w:tr>
    </w:tbl>
    <w:p>
      <w:pPr>
        <w:tabs>
          <w:tab w:val="center" w:pos="4153"/>
          <w:tab w:val="right" w:pos="8306"/>
        </w:tabs>
        <w:rPr>
          <w:rFonts w:hint="default"/>
        </w:rPr>
        <w:sectPr>
          <w:pgSz w:w="16851" w:h="11915" w:orient="landscape"/>
          <w:pgMar w:top="1587" w:right="1984" w:bottom="1474" w:left="2098" w:header="851" w:footer="992" w:gutter="0"/>
          <w:cols w:space="0" w:num="1"/>
          <w:rtlGutter w:val="0"/>
          <w:docGrid w:type="lines" w:linePitch="327" w:charSpace="0"/>
        </w:sectPr>
      </w:pPr>
      <w:r>
        <w:rPr>
          <w:rFonts w:hint="default"/>
        </w:rPr>
        <w:br w:type="page"/>
      </w:r>
    </w:p>
    <w:p>
      <w:pPr>
        <w:pStyle w:val="14"/>
        <w:rPr>
          <w:rFonts w:hint="default"/>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80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80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keepNext w:val="0"/>
        <w:keepLines w:val="0"/>
        <w:pageBreakBefore w:val="0"/>
        <w:widowControl/>
        <w:kinsoku/>
        <w:wordWrap w:val="0"/>
        <w:overflowPunct/>
        <w:topLinePunct w:val="0"/>
        <w:autoSpaceDE/>
        <w:autoSpaceDN/>
        <w:bidi w:val="0"/>
        <w:adjustRightInd/>
        <w:snapToGrid/>
        <w:spacing w:line="560" w:lineRule="exact"/>
        <w:ind w:left="0" w:leftChars="0" w:right="0" w:rightChars="0" w:firstLine="3360" w:firstLineChars="1050"/>
        <w:jc w:val="center"/>
        <w:textAlignment w:val="auto"/>
        <w:rPr>
          <w:rFonts w:hint="eastAsia" w:ascii="仿宋_GB2312" w:hAnsi="仿宋_GB2312" w:eastAsia="仿宋_GB2312" w:cs="仿宋_GB2312"/>
          <w:sz w:val="32"/>
          <w:szCs w:val="32"/>
          <w:lang w:val="en-US" w:eastAsia="zh-CN"/>
        </w:rPr>
      </w:pPr>
    </w:p>
    <w:p>
      <w:pPr>
        <w:pStyle w:val="39"/>
        <w:wordWrap w:val="0"/>
        <w:spacing w:line="560" w:lineRule="exact"/>
        <w:jc w:val="both"/>
        <w:rPr>
          <w:rFonts w:hint="default"/>
        </w:rPr>
      </w:pPr>
      <w:r>
        <w:rPr>
          <w:rFonts w:hint="eastAsia" w:ascii="宋体" w:hAnsi="宋体" w:eastAsia="宋体" w:cs="宋体"/>
          <w:kern w:val="0"/>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400050</wp:posOffset>
                </wp:positionV>
                <wp:extent cx="565531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55310" cy="635"/>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pt;margin-top:31.5pt;height:0.05pt;width:445.3pt;z-index:251659264;mso-width-relative:page;mso-height-relative:page;" filled="f" stroked="t" coordsize="21600,21600" o:gfxdata="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Md8nD9cAAAAIAQAADwAA&#10;AAAAAAABACAAAAA4AAAAZHJzL2Rvd25yZXYueG1sUEsBAhQAFAAAAAgAh07iQD7CcmgBAgAACQQA&#10;AA4AAAAAAAAAAQAgAAAAPAEAAGRycy9lMm9Eb2MueG1sUEsFBgAAAAAGAAYAWQEAAK8FAAAAAA==&#10;">
                <v:fill on="f" focussize="0,0"/>
                <v:stroke weight="1pt" color="#000000" joinstyle="round"/>
                <v:imagedata o:title=""/>
                <o:lock v:ext="edit" aspectratio="f"/>
              </v:line>
            </w:pict>
          </mc:Fallback>
        </mc:AlternateContent>
      </w:r>
      <w:r>
        <w:rPr>
          <w:rFonts w:hint="eastAsia" w:ascii="宋体" w:hAnsi="宋体" w:eastAsia="宋体" w:cs="宋体"/>
          <w:kern w:val="0"/>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53975</wp:posOffset>
                </wp:positionV>
                <wp:extent cx="565531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55310" cy="635"/>
                        </a:xfrm>
                        <a:prstGeom prst="line">
                          <a:avLst/>
                        </a:prstGeom>
                        <a:ln w="12700" cap="flat" cmpd="sng">
                          <a:solidFill>
                            <a:srgbClr val="000000">
                              <a:alpha val="100000"/>
                            </a:srgbClr>
                          </a:solidFill>
                          <a:prstDash val="solid"/>
                          <a:headEnd type="none" w="med" len="med"/>
                          <a:tailEnd type="none" w="med" len="med"/>
                        </a:ln>
                      </wps:spPr>
                      <wps:bodyPr upright="0"/>
                    </wps:wsp>
                  </a:graphicData>
                </a:graphic>
              </wp:anchor>
            </w:drawing>
          </mc:Choice>
          <mc:Fallback>
            <w:pict>
              <v:line id="_x0000_s1026" o:spid="_x0000_s1026" o:spt="20" style="position:absolute;left:0pt;margin-left:-0.05pt;margin-top:4.25pt;height:0.05pt;width:445.3pt;z-index:251660288;mso-width-relative:page;mso-height-relative:page;" filled="f" stroked="t" coordsize="21600,21600" o:gfxdata="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I1SEuTUAAAABQEAAA8AAAAA&#10;AAAAAQAgAAAAOAAAAGRycy9kb3ducmV2LnhtbFBLAQIUABQAAAAIAIdO4kDcGhhSAgIAAAkEAAAO&#10;AAAAAAAAAAEAIAAAADkBAABkcnMvZTJvRG9jLnhtbFBLBQYAAAAABgAGAFkBAACtBQAAAAA=&#10;">
                <v:fill on="f" focussize="0,0"/>
                <v:stroke weight="1pt" color="#000000" joinstyle="round"/>
                <v:imagedata o:title=""/>
                <o:lock v:ext="edit" aspectratio="f"/>
              </v:line>
            </w:pict>
          </mc:Fallback>
        </mc:AlternateContent>
      </w:r>
      <w:r>
        <w:rPr>
          <w:rFonts w:hint="eastAsia" w:ascii="仿宋_GB2312" w:eastAsia="仿宋_GB2312" w:cs="仿宋_GB2312"/>
          <w:kern w:val="0"/>
          <w:sz w:val="28"/>
          <w:szCs w:val="28"/>
          <w:lang w:eastAsia="zh-CN"/>
        </w:rPr>
        <w:t>　厦门市海沧区农业农村和水利局</w:t>
      </w:r>
      <w:r>
        <w:rPr>
          <w:rFonts w:hint="eastAsia" w:ascii="仿宋_GB2312" w:eastAsia="仿宋_GB2312" w:cs="仿宋_GB2312"/>
          <w:kern w:val="0"/>
          <w:sz w:val="28"/>
          <w:szCs w:val="28"/>
          <w:lang w:val="en-US" w:eastAsia="zh-CN"/>
        </w:rPr>
        <w:t xml:space="preserve">　　        </w:t>
      </w:r>
      <w:r>
        <w:rPr>
          <w:rFonts w:hint="eastAsia" w:ascii="仿宋_GB2312" w:eastAsia="仿宋_GB2312" w:cs="仿宋_GB2312"/>
          <w:kern w:val="0"/>
          <w:sz w:val="28"/>
          <w:szCs w:val="28"/>
          <w:lang w:eastAsia="zh-CN"/>
        </w:rPr>
        <w:t>20</w:t>
      </w:r>
      <w:r>
        <w:rPr>
          <w:rFonts w:hint="eastAsia" w:ascii="仿宋_GB2312" w:eastAsia="仿宋_GB2312" w:cs="仿宋_GB2312"/>
          <w:kern w:val="0"/>
          <w:sz w:val="28"/>
          <w:szCs w:val="28"/>
          <w:lang w:val="en-US" w:eastAsia="zh-CN"/>
        </w:rPr>
        <w:t>2</w:t>
      </w:r>
      <w:r>
        <w:rPr>
          <w:rFonts w:hint="eastAsia" w:ascii="仿宋_GB2312" w:cs="仿宋_GB2312"/>
          <w:kern w:val="0"/>
          <w:sz w:val="28"/>
          <w:szCs w:val="28"/>
          <w:lang w:val="en-US" w:eastAsia="zh-CN"/>
        </w:rPr>
        <w:t>5</w:t>
      </w:r>
      <w:r>
        <w:rPr>
          <w:rFonts w:hint="eastAsia" w:ascii="仿宋_GB2312" w:eastAsia="仿宋_GB2312" w:cs="仿宋_GB2312"/>
          <w:kern w:val="0"/>
          <w:sz w:val="28"/>
          <w:szCs w:val="28"/>
          <w:lang w:eastAsia="zh-CN"/>
        </w:rPr>
        <w:t>年</w:t>
      </w:r>
      <w:r>
        <w:rPr>
          <w:rFonts w:hint="eastAsia" w:ascii="仿宋_GB2312" w:cs="仿宋_GB2312"/>
          <w:kern w:val="0"/>
          <w:sz w:val="28"/>
          <w:szCs w:val="28"/>
          <w:lang w:val="en-US" w:eastAsia="zh-CN"/>
        </w:rPr>
        <w:t>3</w:t>
      </w:r>
      <w:r>
        <w:rPr>
          <w:rFonts w:hint="eastAsia" w:ascii="仿宋_GB2312" w:eastAsia="仿宋_GB2312" w:cs="仿宋_GB2312"/>
          <w:kern w:val="0"/>
          <w:sz w:val="28"/>
          <w:szCs w:val="28"/>
          <w:lang w:eastAsia="zh-CN"/>
        </w:rPr>
        <w:t>月</w:t>
      </w:r>
      <w:r>
        <w:rPr>
          <w:rFonts w:hint="eastAsia" w:ascii="仿宋_GB2312" w:eastAsia="仿宋_GB2312" w:cs="仿宋_GB2312"/>
          <w:kern w:val="0"/>
          <w:sz w:val="28"/>
          <w:szCs w:val="28"/>
          <w:lang w:val="en-US" w:eastAsia="zh-CN"/>
        </w:rPr>
        <w:t>10</w:t>
      </w:r>
      <w:r>
        <w:rPr>
          <w:rFonts w:hint="eastAsia" w:ascii="仿宋_GB2312" w:eastAsia="仿宋_GB2312" w:cs="仿宋_GB2312"/>
          <w:kern w:val="0"/>
          <w:sz w:val="28"/>
          <w:szCs w:val="28"/>
          <w:lang w:eastAsia="zh-CN"/>
        </w:rPr>
        <w:t>日印发</w:t>
      </w:r>
    </w:p>
    <w:sectPr>
      <w:pgSz w:w="11915" w:h="16851"/>
      <w:pgMar w:top="1984" w:right="1474" w:bottom="2098"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仿宋">
    <w:panose1 w:val="02010609060101010101"/>
    <w:charset w:val="86"/>
    <w:family w:val="auto"/>
    <w:pitch w:val="default"/>
    <w:sig w:usb0="800002BF" w:usb1="38CF7CFA" w:usb2="00000016" w:usb3="00000000" w:csb0="00040001" w:csb1="00000000"/>
  </w:font>
  <w:font w:name="Tahoma">
    <w:altName w:val="DejaVu Sans"/>
    <w:panose1 w:val="020B0604030504040204"/>
    <w:charset w:val="00"/>
    <w:family w:val="auto"/>
    <w:pitch w:val="default"/>
    <w:sig w:usb0="00000000" w:usb1="00000000"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default"/>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-144780</wp:posOffset>
              </wp:positionV>
              <wp:extent cx="1207770" cy="230505"/>
              <wp:effectExtent l="0" t="0" r="0" b="0"/>
              <wp:wrapNone/>
              <wp:docPr id="3" name="文本框 1026"/>
              <wp:cNvGraphicFramePr/>
              <a:graphic xmlns:a="http://schemas.openxmlformats.org/drawingml/2006/main">
                <a:graphicData uri="http://schemas.microsoft.com/office/word/2010/wordprocessingShape">
                  <wps:wsp>
                    <wps:cNvSpPr/>
                    <wps:spPr>
                      <a:xfrm>
                        <a:off x="0" y="0"/>
                        <a:ext cx="1207770" cy="230505"/>
                      </a:xfrm>
                      <a:prstGeom prst="rect">
                        <a:avLst/>
                      </a:prstGeom>
                      <a:noFill/>
                      <a:ln>
                        <a:noFill/>
                      </a:ln>
                    </wps:spPr>
                    <wps:txbx>
                      <w:txbxContent>
                        <w:p>
                          <w:pPr>
                            <w:pStyle w:val="15"/>
                            <w:ind w:left="240" w:leftChars="100" w:right="473" w:rightChars="197" w:firstLine="208"/>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9</w:t>
                          </w:r>
                          <w:r>
                            <w:rPr>
                              <w:sz w:val="28"/>
                              <w:szCs w:val="28"/>
                            </w:rPr>
                            <w:fldChar w:fldCharType="end"/>
                          </w:r>
                          <w:r>
                            <w:rPr>
                              <w:sz w:val="28"/>
                              <w:szCs w:val="28"/>
                            </w:rPr>
                            <w:t xml:space="preserve"> —</w:t>
                          </w:r>
                        </w:p>
                      </w:txbxContent>
                    </wps:txbx>
                    <wps:bodyPr wrap="none" lIns="0" tIns="0" rIns="0" bIns="0" upright="1">
                      <a:spAutoFit/>
                    </wps:bodyPr>
                  </wps:wsp>
                </a:graphicData>
              </a:graphic>
            </wp:anchor>
          </w:drawing>
        </mc:Choice>
        <mc:Fallback>
          <w:pict>
            <v:rect id="文本框 1026" o:spid="_x0000_s1026" o:spt="1" style="position:absolute;left:0pt;margin-top:-11.4pt;height:18.15pt;width:95.1pt;mso-position-horizontal:outside;mso-position-horizontal-relative:margin;mso-wrap-style:none;z-index:251659264;mso-width-relative:page;mso-height-relative:page;" filled="f" stroked="f" coordsize="21600,21600" o:gfxdata="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K3WtPdQAAAAHAQAADwAA&#10;AAAAAAABACAAAAA4AAAAZHJzL2Rvd25yZXYueG1sUEsBAhQAFAAAAAgAh07iQJ6PnP7LAQAAkQMA&#10;AA4AAAAAAAAAAQAgAAAAOQEAAGRycy9lMm9Eb2MueG1sUEsFBgAAAAAGAAYAWQEAAHYFAAAAAA==&#10;">
              <v:fill on="f" focussize="0,0"/>
              <v:stroke on="f"/>
              <v:imagedata o:title=""/>
              <o:lock v:ext="edit" aspectratio="f"/>
              <v:textbox inset="0mm,0mm,0mm,0mm" style="mso-fit-shape-to-text:t;">
                <w:txbxContent>
                  <w:p>
                    <w:pPr>
                      <w:pStyle w:val="15"/>
                      <w:ind w:left="240" w:leftChars="100" w:right="473" w:rightChars="197" w:firstLine="208"/>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9</w:t>
                    </w:r>
                    <w:r>
                      <w:rPr>
                        <w:sz w:val="28"/>
                        <w:szCs w:val="28"/>
                      </w:rPr>
                      <w:fldChar w:fldCharType="end"/>
                    </w:r>
                    <w:r>
                      <w:rPr>
                        <w:sz w:val="28"/>
                        <w:szCs w:val="28"/>
                      </w:rPr>
                      <w:t xml:space="preserve"> —</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7E581"/>
    <w:multiLevelType w:val="singleLevel"/>
    <w:tmpl w:val="AFB7E581"/>
    <w:lvl w:ilvl="0" w:tentative="0">
      <w:start w:val="1"/>
      <w:numFmt w:val="bullet"/>
      <w:pStyle w:val="12"/>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revisionView w:markup="0"/>
  <w:documentProtection w:enforcement="0"/>
  <w:defaultTabStop w:val="420"/>
  <w:drawingGridVerticalSpacing w:val="164"/>
  <w:displayHorizontalDrawingGridEvery w:val="1"/>
  <w:displayVerticalDrawingGridEvery w:val="1"/>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58"/>
    <w:rsid w:val="0000061D"/>
    <w:rsid w:val="00032AE9"/>
    <w:rsid w:val="00136656"/>
    <w:rsid w:val="001C5AE8"/>
    <w:rsid w:val="001F2058"/>
    <w:rsid w:val="002830C3"/>
    <w:rsid w:val="002D46E3"/>
    <w:rsid w:val="0030608E"/>
    <w:rsid w:val="0031208B"/>
    <w:rsid w:val="00313F4F"/>
    <w:rsid w:val="00451031"/>
    <w:rsid w:val="004A206F"/>
    <w:rsid w:val="006005D2"/>
    <w:rsid w:val="0068797E"/>
    <w:rsid w:val="00794055"/>
    <w:rsid w:val="007A0C2D"/>
    <w:rsid w:val="007B018D"/>
    <w:rsid w:val="007C3D91"/>
    <w:rsid w:val="00882F79"/>
    <w:rsid w:val="009B2F4A"/>
    <w:rsid w:val="00A124C9"/>
    <w:rsid w:val="00B6794D"/>
    <w:rsid w:val="00B95A1E"/>
    <w:rsid w:val="00CD0F4B"/>
    <w:rsid w:val="00DA53DD"/>
    <w:rsid w:val="00DD29B0"/>
    <w:rsid w:val="00E377BA"/>
    <w:rsid w:val="00EC0724"/>
    <w:rsid w:val="00F67FBD"/>
    <w:rsid w:val="00FA551F"/>
    <w:rsid w:val="00FD0034"/>
    <w:rsid w:val="017C1F9D"/>
    <w:rsid w:val="03B829BE"/>
    <w:rsid w:val="04115C42"/>
    <w:rsid w:val="21CB1B52"/>
    <w:rsid w:val="2CE61CCB"/>
    <w:rsid w:val="2CFBE64C"/>
    <w:rsid w:val="30510E7A"/>
    <w:rsid w:val="337D8056"/>
    <w:rsid w:val="35745F8E"/>
    <w:rsid w:val="371014FA"/>
    <w:rsid w:val="395B1225"/>
    <w:rsid w:val="3D1F8C27"/>
    <w:rsid w:val="3EDFD29A"/>
    <w:rsid w:val="3FE30A9F"/>
    <w:rsid w:val="457C7784"/>
    <w:rsid w:val="4D7E602A"/>
    <w:rsid w:val="54BD4490"/>
    <w:rsid w:val="57A255C1"/>
    <w:rsid w:val="5A0051ED"/>
    <w:rsid w:val="5AFE7F4E"/>
    <w:rsid w:val="5BBA9FF5"/>
    <w:rsid w:val="5D7AAD87"/>
    <w:rsid w:val="60016FB2"/>
    <w:rsid w:val="611A6E04"/>
    <w:rsid w:val="63132DAA"/>
    <w:rsid w:val="6F793BA9"/>
    <w:rsid w:val="6FBB877C"/>
    <w:rsid w:val="70E735A1"/>
    <w:rsid w:val="749C44CF"/>
    <w:rsid w:val="753601F8"/>
    <w:rsid w:val="7B9D0609"/>
    <w:rsid w:val="7BBF21E5"/>
    <w:rsid w:val="7C4BD88C"/>
    <w:rsid w:val="7CFF0027"/>
    <w:rsid w:val="7DAF2088"/>
    <w:rsid w:val="7E5C4A02"/>
    <w:rsid w:val="7F47B779"/>
    <w:rsid w:val="7FA79B91"/>
    <w:rsid w:val="7FE96910"/>
    <w:rsid w:val="7FEECE1D"/>
    <w:rsid w:val="7FFF3554"/>
    <w:rsid w:val="9BFCB107"/>
    <w:rsid w:val="9D3FC6A8"/>
    <w:rsid w:val="9DBFF7D5"/>
    <w:rsid w:val="BFDE6A6D"/>
    <w:rsid w:val="BFFE0E8A"/>
    <w:rsid w:val="CEFD1373"/>
    <w:rsid w:val="DBC772A2"/>
    <w:rsid w:val="DEFB5D7A"/>
    <w:rsid w:val="E7EB0113"/>
    <w:rsid w:val="EAFD3F88"/>
    <w:rsid w:val="EDDF9456"/>
    <w:rsid w:val="F1AF5E7E"/>
    <w:rsid w:val="F3F36FB8"/>
    <w:rsid w:val="F697FF13"/>
    <w:rsid w:val="FA4D59B3"/>
    <w:rsid w:val="FCCDAE98"/>
    <w:rsid w:val="FDA75ECF"/>
    <w:rsid w:val="FDFB1F1E"/>
    <w:rsid w:val="FEDF5507"/>
    <w:rsid w:val="FEFFF30A"/>
    <w:rsid w:val="FFBBE241"/>
    <w:rsid w:val="FFFF5ACB"/>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rPr>
      <w:rFonts w:hint="eastAsia" w:ascii="宋体" w:hAnsi="宋体" w:eastAsia="宋体" w:cs="宋体"/>
      <w:sz w:val="24"/>
      <w:szCs w:val="24"/>
      <w:lang w:val="en-US" w:eastAsia="zh-CN" w:bidi="ar-SA"/>
    </w:rPr>
  </w:style>
  <w:style w:type="paragraph" w:styleId="3">
    <w:name w:val="heading 1"/>
    <w:basedOn w:val="1"/>
    <w:next w:val="1"/>
    <w:qFormat/>
    <w:uiPriority w:val="0"/>
    <w:pPr>
      <w:spacing w:before="100" w:beforeAutospacing="1" w:after="100" w:afterAutospacing="1"/>
      <w:outlineLvl w:val="0"/>
    </w:pPr>
    <w:rPr>
      <w:b/>
      <w:kern w:val="44"/>
      <w:sz w:val="48"/>
      <w:szCs w:val="48"/>
    </w:rPr>
  </w:style>
  <w:style w:type="paragraph" w:styleId="4">
    <w:name w:val="heading 2"/>
    <w:basedOn w:val="1"/>
    <w:next w:val="1"/>
    <w:qFormat/>
    <w:uiPriority w:val="0"/>
    <w:pPr>
      <w:spacing w:before="100" w:beforeAutospacing="1" w:after="100" w:afterAutospacing="1"/>
      <w:outlineLvl w:val="1"/>
    </w:pPr>
    <w:rPr>
      <w:b/>
      <w:sz w:val="36"/>
      <w:szCs w:val="36"/>
    </w:rPr>
  </w:style>
  <w:style w:type="paragraph" w:styleId="5">
    <w:name w:val="heading 3"/>
    <w:basedOn w:val="1"/>
    <w:next w:val="1"/>
    <w:qFormat/>
    <w:uiPriority w:val="0"/>
    <w:pPr>
      <w:spacing w:before="100" w:beforeAutospacing="1" w:after="100" w:afterAutospacing="1"/>
      <w:outlineLvl w:val="2"/>
    </w:pPr>
    <w:rPr>
      <w:b/>
      <w:sz w:val="27"/>
      <w:szCs w:val="27"/>
    </w:rPr>
  </w:style>
  <w:style w:type="paragraph" w:styleId="6">
    <w:name w:val="heading 4"/>
    <w:basedOn w:val="1"/>
    <w:next w:val="1"/>
    <w:qFormat/>
    <w:uiPriority w:val="0"/>
    <w:pPr>
      <w:spacing w:before="100" w:beforeAutospacing="1" w:after="100" w:afterAutospacing="1"/>
      <w:outlineLvl w:val="3"/>
    </w:pPr>
    <w:rPr>
      <w:b/>
    </w:rPr>
  </w:style>
  <w:style w:type="paragraph" w:styleId="7">
    <w:name w:val="heading 5"/>
    <w:basedOn w:val="1"/>
    <w:next w:val="1"/>
    <w:qFormat/>
    <w:uiPriority w:val="0"/>
    <w:pPr>
      <w:spacing w:before="100" w:beforeAutospacing="1" w:after="100" w:afterAutospacing="1"/>
      <w:outlineLvl w:val="4"/>
    </w:pPr>
    <w:rPr>
      <w:b/>
      <w:sz w:val="20"/>
      <w:szCs w:val="20"/>
    </w:rPr>
  </w:style>
  <w:style w:type="paragraph" w:styleId="8">
    <w:name w:val="heading 6"/>
    <w:basedOn w:val="1"/>
    <w:next w:val="1"/>
    <w:qFormat/>
    <w:uiPriority w:val="0"/>
    <w:pPr>
      <w:spacing w:before="100" w:beforeAutospacing="1" w:after="100" w:afterAutospacing="1"/>
      <w:outlineLvl w:val="5"/>
    </w:pPr>
    <w:rPr>
      <w:b/>
      <w:sz w:val="15"/>
      <w:szCs w:val="15"/>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textAlignment w:val="baseline"/>
    </w:pPr>
    <w:rPr>
      <w:rFonts w:ascii="Tahoma" w:hAnsi="Tahoma"/>
      <w:sz w:val="24"/>
    </w:rPr>
  </w:style>
  <w:style w:type="paragraph" w:styleId="9">
    <w:name w:val="index 5"/>
    <w:basedOn w:val="1"/>
    <w:next w:val="1"/>
    <w:qFormat/>
    <w:uiPriority w:val="0"/>
    <w:pPr>
      <w:widowControl w:val="0"/>
      <w:ind w:left="1680"/>
      <w:jc w:val="both"/>
    </w:pPr>
    <w:rPr>
      <w:rFonts w:ascii="Calibri" w:hAnsi="Calibri" w:eastAsia="宋体" w:cs="Times New Roman"/>
      <w:kern w:val="2"/>
      <w:sz w:val="21"/>
      <w:szCs w:val="24"/>
      <w:lang w:val="en-US" w:eastAsia="zh-CN" w:bidi="ar-SA"/>
    </w:rPr>
  </w:style>
  <w:style w:type="paragraph" w:styleId="10">
    <w:name w:val="annotation text"/>
    <w:basedOn w:val="1"/>
    <w:link w:val="37"/>
    <w:qFormat/>
    <w:uiPriority w:val="0"/>
  </w:style>
  <w:style w:type="paragraph" w:styleId="11">
    <w:name w:val="Body Text"/>
    <w:basedOn w:val="1"/>
    <w:next w:val="12"/>
    <w:unhideWhenUsed/>
    <w:qFormat/>
    <w:uiPriority w:val="99"/>
    <w:pPr>
      <w:spacing w:after="140" w:line="276" w:lineRule="auto"/>
    </w:pPr>
  </w:style>
  <w:style w:type="paragraph" w:styleId="12">
    <w:name w:val="List Bullet 5"/>
    <w:basedOn w:val="1"/>
    <w:qFormat/>
    <w:uiPriority w:val="0"/>
    <w:pPr>
      <w:numPr>
        <w:ilvl w:val="0"/>
        <w:numId w:val="1"/>
      </w:numPr>
    </w:pPr>
  </w:style>
  <w:style w:type="paragraph" w:styleId="13">
    <w:name w:val="Body Text Indent"/>
    <w:basedOn w:val="1"/>
    <w:qFormat/>
    <w:uiPriority w:val="0"/>
    <w:pPr>
      <w:spacing w:after="120"/>
      <w:ind w:left="420" w:leftChars="200"/>
    </w:pPr>
  </w:style>
  <w:style w:type="paragraph" w:styleId="14">
    <w:name w:val="Balloon Text"/>
    <w:basedOn w:val="1"/>
    <w:next w:val="9"/>
    <w:qFormat/>
    <w:uiPriority w:val="0"/>
    <w:pPr>
      <w:widowControl w:val="0"/>
      <w:jc w:val="both"/>
    </w:pPr>
    <w:rPr>
      <w:rFonts w:ascii="Times New Roman" w:hAnsi="Times New Roman" w:cs="Times New Roman"/>
      <w:kern w:val="2"/>
      <w:sz w:val="18"/>
      <w:szCs w:val="18"/>
    </w:rPr>
  </w:style>
  <w:style w:type="paragraph" w:styleId="15">
    <w:name w:val="footer"/>
    <w:basedOn w:val="1"/>
    <w:qFormat/>
    <w:uiPriority w:val="0"/>
    <w:pPr>
      <w:tabs>
        <w:tab w:val="center" w:pos="4153"/>
        <w:tab w:val="right" w:pos="8306"/>
      </w:tabs>
      <w:snapToGrid w:val="0"/>
    </w:pPr>
    <w:rPr>
      <w:sz w:val="18"/>
    </w:rPr>
  </w:style>
  <w:style w:type="paragraph" w:styleId="16">
    <w:name w:val="header"/>
    <w:basedOn w:val="1"/>
    <w:next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7">
    <w:name w:val="index heading"/>
    <w:basedOn w:val="1"/>
    <w:next w:val="18"/>
    <w:semiHidden/>
    <w:qFormat/>
    <w:uiPriority w:val="99"/>
    <w:pPr>
      <w:spacing w:line="500" w:lineRule="exact"/>
    </w:pPr>
    <w:rPr>
      <w:rFonts w:ascii="仿宋_GB2312" w:eastAsia="仿宋_GB2312" w:cs="仿宋_GB2312"/>
      <w:sz w:val="28"/>
      <w:szCs w:val="28"/>
    </w:rPr>
  </w:style>
  <w:style w:type="paragraph" w:styleId="18">
    <w:name w:val="index 1"/>
    <w:basedOn w:val="1"/>
    <w:next w:val="1"/>
    <w:semiHidden/>
    <w:qFormat/>
    <w:uiPriority w:val="99"/>
    <w:pPr>
      <w:suppressLineNumbers/>
      <w:suppressAutoHyphens/>
      <w:adjustRightInd w:val="0"/>
      <w:spacing w:line="288" w:lineRule="auto"/>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20">
    <w:name w:val="Normal (Web)"/>
    <w:basedOn w:val="1"/>
    <w:qFormat/>
    <w:uiPriority w:val="0"/>
    <w:pPr>
      <w:spacing w:before="100" w:beforeAutospacing="1" w:after="100" w:afterAutospacing="1"/>
    </w:pPr>
  </w:style>
  <w:style w:type="paragraph" w:styleId="21">
    <w:name w:val="annotation subject"/>
    <w:basedOn w:val="10"/>
    <w:next w:val="10"/>
    <w:link w:val="38"/>
    <w:qFormat/>
    <w:uiPriority w:val="0"/>
    <w:rPr>
      <w:b/>
      <w:bCs/>
    </w:rPr>
  </w:style>
  <w:style w:type="character" w:styleId="24">
    <w:name w:val="page number"/>
    <w:qFormat/>
    <w:uiPriority w:val="0"/>
  </w:style>
  <w:style w:type="character" w:styleId="25">
    <w:name w:val="annotation reference"/>
    <w:basedOn w:val="23"/>
    <w:qFormat/>
    <w:uiPriority w:val="0"/>
    <w:rPr>
      <w:sz w:val="21"/>
      <w:szCs w:val="21"/>
    </w:rPr>
  </w:style>
  <w:style w:type="paragraph" w:customStyle="1" w:styleId="26">
    <w:name w:val="1.正文"/>
    <w:basedOn w:val="1"/>
    <w:next w:val="16"/>
    <w:qFormat/>
    <w:uiPriority w:val="0"/>
    <w:rPr>
      <w:rFonts w:ascii="Times New Roman" w:hAnsi="Times New Roman" w:eastAsia="仿宋_GB2312" w:cs="Times New Roman"/>
      <w:sz w:val="32"/>
      <w:szCs w:val="21"/>
    </w:rPr>
  </w:style>
  <w:style w:type="paragraph" w:customStyle="1" w:styleId="27">
    <w:name w:val="p Char"/>
    <w:basedOn w:val="1"/>
    <w:qFormat/>
    <w:uiPriority w:val="0"/>
    <w:pPr>
      <w:spacing w:before="100" w:beforeAutospacing="1" w:after="100" w:afterAutospacing="1"/>
    </w:pPr>
  </w:style>
  <w:style w:type="character" w:customStyle="1" w:styleId="28">
    <w:name w:val="10"/>
    <w:basedOn w:val="23"/>
    <w:qFormat/>
    <w:uiPriority w:val="0"/>
    <w:rPr>
      <w:rFonts w:hint="default" w:ascii="Times New Roman" w:hAnsi="Times New Roman" w:cs="Times New Roman"/>
    </w:rPr>
  </w:style>
  <w:style w:type="character" w:customStyle="1" w:styleId="29">
    <w:name w:val="font31"/>
    <w:basedOn w:val="23"/>
    <w:qFormat/>
    <w:uiPriority w:val="0"/>
    <w:rPr>
      <w:rFonts w:hint="default" w:ascii="Times New Roman" w:hAnsi="Times New Roman" w:cs="Times New Roman"/>
      <w:color w:val="000000"/>
      <w:sz w:val="24"/>
      <w:szCs w:val="24"/>
      <w:u w:val="none"/>
    </w:rPr>
  </w:style>
  <w:style w:type="character" w:customStyle="1" w:styleId="30">
    <w:name w:val="font01"/>
    <w:basedOn w:val="23"/>
    <w:qFormat/>
    <w:uiPriority w:val="0"/>
    <w:rPr>
      <w:rFonts w:hint="eastAsia" w:ascii="宋体" w:hAnsi="宋体" w:eastAsia="宋体" w:cs="宋体"/>
      <w:color w:val="000000"/>
      <w:sz w:val="24"/>
      <w:szCs w:val="24"/>
      <w:u w:val="none"/>
    </w:rPr>
  </w:style>
  <w:style w:type="character" w:customStyle="1" w:styleId="31">
    <w:name w:val="font51"/>
    <w:basedOn w:val="23"/>
    <w:qFormat/>
    <w:uiPriority w:val="0"/>
    <w:rPr>
      <w:rFonts w:hint="default" w:ascii="Times New Roman" w:hAnsi="Times New Roman" w:cs="Times New Roman"/>
      <w:color w:val="000000"/>
      <w:sz w:val="24"/>
      <w:szCs w:val="24"/>
      <w:u w:val="none"/>
    </w:rPr>
  </w:style>
  <w:style w:type="character" w:customStyle="1" w:styleId="32">
    <w:name w:val="font11"/>
    <w:basedOn w:val="23"/>
    <w:qFormat/>
    <w:uiPriority w:val="0"/>
    <w:rPr>
      <w:rFonts w:hint="default" w:ascii="Times New Roman" w:hAnsi="Times New Roman" w:cs="Times New Roman"/>
      <w:color w:val="000000"/>
      <w:sz w:val="24"/>
      <w:szCs w:val="24"/>
      <w:u w:val="none"/>
      <w:vertAlign w:val="superscript"/>
    </w:rPr>
  </w:style>
  <w:style w:type="character" w:customStyle="1" w:styleId="33">
    <w:name w:val="font41"/>
    <w:basedOn w:val="23"/>
    <w:qFormat/>
    <w:uiPriority w:val="0"/>
    <w:rPr>
      <w:rFonts w:hint="default" w:ascii="Times New Roman" w:hAnsi="Times New Roman" w:cs="Times New Roman"/>
      <w:color w:val="000000"/>
      <w:sz w:val="20"/>
      <w:szCs w:val="20"/>
      <w:u w:val="none"/>
    </w:rPr>
  </w:style>
  <w:style w:type="character" w:customStyle="1" w:styleId="34">
    <w:name w:val="font21"/>
    <w:basedOn w:val="23"/>
    <w:qFormat/>
    <w:uiPriority w:val="0"/>
    <w:rPr>
      <w:rFonts w:hint="eastAsia" w:ascii="宋体" w:hAnsi="宋体" w:eastAsia="宋体" w:cs="宋体"/>
      <w:color w:val="000000"/>
      <w:sz w:val="20"/>
      <w:szCs w:val="20"/>
      <w:u w:val="none"/>
    </w:rPr>
  </w:style>
  <w:style w:type="paragraph" w:customStyle="1" w:styleId="35">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修订1"/>
    <w:hidden/>
    <w:unhideWhenUsed/>
    <w:qFormat/>
    <w:uiPriority w:val="99"/>
    <w:rPr>
      <w:rFonts w:hint="eastAsia" w:ascii="宋体" w:hAnsi="宋体" w:eastAsia="宋体" w:cs="宋体"/>
      <w:sz w:val="24"/>
      <w:szCs w:val="24"/>
      <w:lang w:val="en-US" w:eastAsia="zh-CN" w:bidi="ar-SA"/>
    </w:rPr>
  </w:style>
  <w:style w:type="character" w:customStyle="1" w:styleId="37">
    <w:name w:val="批注文字字符"/>
    <w:basedOn w:val="23"/>
    <w:link w:val="10"/>
    <w:qFormat/>
    <w:uiPriority w:val="0"/>
    <w:rPr>
      <w:rFonts w:ascii="宋体" w:hAnsi="宋体" w:cs="宋体"/>
      <w:sz w:val="24"/>
      <w:szCs w:val="24"/>
    </w:rPr>
  </w:style>
  <w:style w:type="character" w:customStyle="1" w:styleId="38">
    <w:name w:val="批注主题字符"/>
    <w:basedOn w:val="37"/>
    <w:link w:val="21"/>
    <w:qFormat/>
    <w:uiPriority w:val="0"/>
    <w:rPr>
      <w:rFonts w:ascii="宋体" w:hAnsi="宋体" w:cs="宋体"/>
      <w:b/>
      <w:bCs/>
      <w:sz w:val="24"/>
      <w:szCs w:val="24"/>
    </w:rPr>
  </w:style>
  <w:style w:type="paragraph" w:customStyle="1" w:styleId="39">
    <w:name w:val="p0"/>
    <w:basedOn w:val="1"/>
    <w:qFormat/>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514</Words>
  <Characters>2936</Characters>
  <Lines>24</Lines>
  <Paragraphs>6</Paragraphs>
  <TotalTime>0</TotalTime>
  <ScaleCrop>false</ScaleCrop>
  <LinksUpToDate>false</LinksUpToDate>
  <CharactersWithSpaces>3444</CharactersWithSpaces>
  <Application>WPS Office_11.8.2.12293_F1E327BC-269C-435d-A152-05C5408002CA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2025-03-05T15:22:00Z</dcterms:created>
  <dc:creator>Administrator</dc:creator>
  <cp:lastModifiedBy>lenovo</cp:lastModifiedBy>
  <cp:lastPrinted>2025-03-07T09:41:00Z</cp:lastPrinted>
  <dcterms:modified xsi:type="dcterms:W3CDTF">2025-03-17T10:41:12Z</dcterms:modified>
  <dc:title>厦门市海沧区财政局关于批复福建省厦门天竺山国有林场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2052-11.8.2.12293</vt:lpwstr>
  </property>
  <property fmtid="{D5CDD505-2E9C-101B-9397-08002B2CF9AE}" pid="3" name="ICV">
    <vt:lpwstr>E94C4C027EE64061EA03C867E7DBA615</vt:lpwstr>
  </property>
</Properties>
</file>