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海沧区</w:t>
      </w:r>
      <w:r>
        <w:rPr>
          <w:rFonts w:hint="eastAsia" w:ascii="方正小标宋简体" w:eastAsia="方正小标宋简体"/>
          <w:b/>
          <w:bCs/>
          <w:kern w:val="0"/>
          <w:sz w:val="36"/>
          <w:szCs w:val="36"/>
          <w:lang w:val="en-US" w:eastAsia="zh-CN"/>
        </w:rPr>
        <w:t>窨井设施基础信息大排查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工作任务责任分解表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55"/>
        <w:gridCol w:w="2355"/>
        <w:gridCol w:w="970"/>
        <w:gridCol w:w="1337"/>
        <w:gridCol w:w="2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排查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任务范围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完成时限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牵头责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任单位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城市道路红线范围内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海沧区市政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城市道路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区建设局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市水务集团、华润燃气公司、电力集团、广电集团、电信公司、移动公司、联通公司，区城建集团、海旅集团，31集团军、三总站。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海沧辖区交通道路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海沧公路分局</w:t>
            </w: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已建设未移交城市道路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尚未建成或者已经建成但尚未移交产权单位的窨井设施，建设单位视为窨井设施维护和管理责任单位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区建设局、区交通局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各施工单位。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城市道路红线范围外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在城市道路用地红线范围以外的机关、团体、学校、企业、事业等单位或住宅区、开发区内以及其它地点、场地(所)的窨井设施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各街道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各居委会、物业小区，市水务集团、华润燃气公司、电力集团、广电集团、电信公司、移动公司、联通公司。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填写说明</w:t>
            </w:r>
          </w:p>
        </w:tc>
        <w:tc>
          <w:tcPr>
            <w:tcW w:w="7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1.城市道路的填报：以城市道路名称汇总各种类窨井数据信息；窨井信息牌必须清晰、完整；窨井平整、完好；防坠网安装符合要求；</w:t>
            </w:r>
          </w:p>
          <w:p>
            <w:pPr>
              <w:autoSpaceDN w:val="0"/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2.城市道路红线范围外：以各居委会管辖范围为单元，以机关、团体、学校、企业、事业等单位或住宅区、开发区内以及其它地点、场地(所)的窨井设施分类统计；各街道在接受各居委会报表时，应对相邻居委会的模糊边界落实责任，不得遗漏；区政府同样对相邻街道办事处的模糊边界落实责任，不得遗漏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3、按分解表内牵头责任单位统一报送登记统计台账。</w:t>
            </w:r>
          </w:p>
        </w:tc>
      </w:tr>
    </w:tbl>
    <w:p>
      <w:pP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D70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2017-03-02T01:00:41Z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