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47" w:rightChars="70"/>
        <w:rPr>
          <w:rFonts w:hint="eastAsia" w:ascii="仿宋_GB2312" w:eastAsia="仿宋_GB2312"/>
          <w:sz w:val="32"/>
          <w:szCs w:val="32"/>
        </w:rPr>
      </w:pPr>
      <w:r>
        <w:rPr>
          <w:rFonts w:hint="eastAsia" w:ascii="仿宋_GB2312" w:eastAsia="仿宋_GB2312"/>
          <w:sz w:val="32"/>
          <w:szCs w:val="32"/>
        </w:rPr>
        <w:t>附件4</w:t>
      </w:r>
    </w:p>
    <w:p>
      <w:pPr>
        <w:shd w:val="clear" w:color="auto" w:fill="FFFFFF"/>
        <w:spacing w:line="360" w:lineRule="atLeast"/>
        <w:jc w:val="center"/>
        <w:rPr>
          <w:rFonts w:eastAsia="方正小标宋简体"/>
          <w:sz w:val="36"/>
          <w:szCs w:val="36"/>
        </w:rPr>
      </w:pPr>
      <w:r>
        <w:rPr>
          <w:rFonts w:eastAsia="方正小标宋简体"/>
          <w:sz w:val="36"/>
          <w:szCs w:val="36"/>
        </w:rPr>
        <w:t>厦门市中小学校外托管机构“小饭桌”食品安全承诺书</w:t>
      </w:r>
    </w:p>
    <w:p>
      <w:pPr>
        <w:spacing w:line="380" w:lineRule="exact"/>
        <w:rPr>
          <w:rFonts w:hint="eastAsia" w:ascii="仿宋_GB2312" w:hAnsi="宋体" w:eastAsia="仿宋_GB2312"/>
          <w:sz w:val="24"/>
        </w:rPr>
      </w:pPr>
    </w:p>
    <w:p>
      <w:pPr>
        <w:spacing w:line="380" w:lineRule="exact"/>
        <w:rPr>
          <w:rFonts w:hint="eastAsia" w:ascii="仿宋_GB2312" w:hAnsi="宋体" w:eastAsia="仿宋_GB2312"/>
          <w:sz w:val="24"/>
        </w:rPr>
      </w:pPr>
      <w:r>
        <w:rPr>
          <w:rFonts w:hint="eastAsia" w:ascii="仿宋_GB2312" w:hAnsi="宋体" w:eastAsia="仿宋_GB2312"/>
          <w:sz w:val="24"/>
        </w:rPr>
        <w:t>为确保学生饮食安全，特向社会公开承诺：</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一、本单位法定代表人/负责人/业主/开办人</w:t>
      </w:r>
      <w:r>
        <w:rPr>
          <w:rFonts w:hint="eastAsia" w:ascii="仿宋_GB2312" w:hAnsi="宋体" w:eastAsia="仿宋_GB2312"/>
          <w:sz w:val="24"/>
          <w:u w:val="single"/>
        </w:rPr>
        <w:t xml:space="preserve">                </w:t>
      </w:r>
      <w:r>
        <w:rPr>
          <w:rFonts w:hint="eastAsia" w:ascii="仿宋_GB2312" w:hAnsi="宋体" w:eastAsia="仿宋_GB2312"/>
          <w:sz w:val="24"/>
        </w:rPr>
        <w:t>为食品安全第一责任人，对本单位食品安全负责。</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二、本单位将认真遵守《食品安全法》等法律法规和相关规定，履行食品安全各项要求，做好各项食品安全工作，严防食品安全事故发生：</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（一）严格执行从业人员健康管理，按要求办理健康证并组织食品安全培训。发现患有碍食品安全病症的，立即调离工作岗位。</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（二）严格保证烹饪就餐场所内外整洁，采取有效防虫、防尘、防鼠等措施。</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三）严把原料进货关，不采购和使用《厦门市中小学校外托管机构“小饭桌”禁止使用的食品指导名录》所列食品，不采购或使用来源不明的食品、食品相关产品，不使用食用过的剩余食品，不提供未经烧熟煮透的食品，不提供凉拌菜、生食水产品、外购的散装直接入口熟食制品等高风险食品，不使用食品添加剂。做好索证索票、采购查验和台账记录工作。</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（四）严格遵守《餐饮服务食品安全操作规范》，食品烧熟煮透，不非法添加或滥用食品添加剂。</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（五）严格进行清洗消毒保洁，不使用未清洗消毒的餐饮具或容器工具，不重复使用一次性餐具。</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（六）严格做好其他各项食品安全工作。</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三、若就餐者出现恶心、呕吐、腹痛、腹泻等不良反应，本单位将第一时间协助将患者送医，封存相关食品、用具及现场，立即报告街道（镇）、属地市场监管所、区卫生和计划生育局，并全力配合相关部门进行调查处置。</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四、本单位将严格履行上述承诺，保证食品安全，对学生和家长负责、对社会和公众负责，愿意接受并配合食品安全相关管理人员的检查指导。若违反规定，愿意承担相应的法律责任。</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承诺单位：</w:t>
      </w:r>
    </w:p>
    <w:p>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法定代表人/负责人/业主/开办人签名：</w:t>
      </w:r>
    </w:p>
    <w:p>
      <w:pPr>
        <w:spacing w:line="380" w:lineRule="exact"/>
        <w:jc w:val="right"/>
        <w:rPr>
          <w:rFonts w:hint="eastAsia" w:ascii="仿宋_GB2312" w:hAnsi="宋体" w:eastAsia="仿宋_GB2312"/>
          <w:sz w:val="24"/>
        </w:rPr>
      </w:pPr>
      <w:r>
        <w:rPr>
          <w:rFonts w:hint="eastAsia" w:ascii="仿宋_GB2312" w:hAnsi="宋体" w:eastAsia="仿宋_GB2312"/>
          <w:sz w:val="24"/>
        </w:rPr>
        <w:t xml:space="preserve">              年    月    日</w:t>
      </w:r>
    </w:p>
    <w:p>
      <w:pPr>
        <w:ind w:leftChars="-1" w:hanging="1" w:hangingChars="1"/>
        <w:rPr>
          <w:rFonts w:hint="eastAsia" w:ascii="仿宋_GB2312" w:hAnsi="宋体" w:eastAsia="仿宋_GB2312"/>
          <w:sz w:val="18"/>
          <w:szCs w:val="18"/>
        </w:rPr>
      </w:pPr>
      <w:r>
        <w:rPr>
          <w:rFonts w:hint="eastAsia" w:ascii="仿宋_GB2312" w:hAnsi="宋体" w:eastAsia="仿宋_GB2312"/>
          <w:sz w:val="18"/>
          <w:szCs w:val="18"/>
        </w:rPr>
        <w:t>备注：本承诺书一式两份，一份由街道（镇）存档保存，一份交校外托管机构“小饭桌”在场所醒目位置公示。</w:t>
      </w:r>
    </w:p>
    <w:p/>
    <w:p/>
    <w:p/>
    <w:p/>
    <w:p>
      <w:pPr>
        <w:spacing w:line="600" w:lineRule="exact"/>
        <w:ind w:left="1" w:leftChars="-1" w:hanging="3" w:hangingChars="1"/>
        <w:jc w:val="center"/>
        <w:rPr>
          <w:rFonts w:hint="eastAsia" w:ascii="方正小标宋简体" w:eastAsia="方正小标宋简体"/>
          <w:sz w:val="36"/>
          <w:szCs w:val="36"/>
        </w:rPr>
      </w:pPr>
      <w:r>
        <w:rPr>
          <w:rFonts w:hint="eastAsia" w:ascii="方正小标宋简体" w:eastAsia="方正小标宋简体"/>
          <w:sz w:val="36"/>
          <w:szCs w:val="36"/>
        </w:rPr>
        <w:t>附：厦门市中小学校外托管机构“小饭桌”</w:t>
      </w:r>
    </w:p>
    <w:p>
      <w:pPr>
        <w:spacing w:line="600" w:lineRule="exact"/>
        <w:ind w:left="1" w:leftChars="-1" w:hanging="3" w:hangingChars="1"/>
        <w:jc w:val="center"/>
        <w:rPr>
          <w:rFonts w:hint="eastAsia" w:ascii="方正小标宋简体" w:eastAsia="方正小标宋简体"/>
          <w:sz w:val="36"/>
          <w:szCs w:val="36"/>
        </w:rPr>
      </w:pPr>
      <w:r>
        <w:rPr>
          <w:rFonts w:hint="eastAsia" w:ascii="方正小标宋简体" w:eastAsia="方正小标宋简体"/>
          <w:sz w:val="36"/>
          <w:szCs w:val="36"/>
        </w:rPr>
        <w:t>禁止使用的食品指导名录</w:t>
      </w:r>
    </w:p>
    <w:tbl>
      <w:tblPr>
        <w:tblStyle w:val="3"/>
        <w:tblW w:w="1027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9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71" w:type="dxa"/>
            <w:vAlign w:val="center"/>
          </w:tcPr>
          <w:p>
            <w:pPr>
              <w:spacing w:line="260" w:lineRule="exact"/>
              <w:jc w:val="center"/>
              <w:rPr>
                <w:sz w:val="24"/>
                <w:szCs w:val="18"/>
              </w:rPr>
            </w:pPr>
            <w:r>
              <w:rPr>
                <w:rFonts w:hint="eastAsia"/>
                <w:sz w:val="24"/>
                <w:szCs w:val="18"/>
              </w:rPr>
              <w:t>序号</w:t>
            </w:r>
          </w:p>
        </w:tc>
        <w:tc>
          <w:tcPr>
            <w:tcW w:w="9808" w:type="dxa"/>
            <w:vAlign w:val="center"/>
          </w:tcPr>
          <w:p>
            <w:pPr>
              <w:spacing w:line="260" w:lineRule="exact"/>
              <w:jc w:val="center"/>
              <w:rPr>
                <w:sz w:val="24"/>
                <w:szCs w:val="18"/>
              </w:rPr>
            </w:pPr>
            <w:r>
              <w:rPr>
                <w:rFonts w:hint="eastAsia"/>
                <w:sz w:val="24"/>
                <w:szCs w:val="18"/>
              </w:rPr>
              <w:t>禁止使用的食品指导名录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1</w:t>
            </w:r>
          </w:p>
        </w:tc>
        <w:tc>
          <w:tcPr>
            <w:tcW w:w="9808" w:type="dxa"/>
            <w:vAlign w:val="center"/>
          </w:tcPr>
          <w:p>
            <w:pPr>
              <w:spacing w:line="260" w:lineRule="exact"/>
              <w:rPr>
                <w:sz w:val="18"/>
                <w:szCs w:val="18"/>
              </w:rPr>
            </w:pPr>
            <w:r>
              <w:rPr>
                <w:rFonts w:hint="eastAsia"/>
                <w:sz w:val="18"/>
                <w:szCs w:val="18"/>
              </w:rPr>
              <w:t>《食品安全法》第三十四条规定的禁止经营的食品：</w:t>
            </w:r>
          </w:p>
          <w:p>
            <w:pPr>
              <w:spacing w:line="260" w:lineRule="exact"/>
              <w:rPr>
                <w:rFonts w:hint="eastAsia"/>
                <w:sz w:val="18"/>
                <w:szCs w:val="18"/>
              </w:rPr>
            </w:pPr>
            <w:r>
              <w:rPr>
                <w:rFonts w:hint="eastAsia"/>
                <w:sz w:val="18"/>
                <w:szCs w:val="18"/>
              </w:rPr>
              <w:t>（一）用非食品原料生产的食品或者添加食品添加剂以外的化学物质和其他可能危害人体健康物质的食品，或者用回收食品作为原料生产的食品；</w:t>
            </w:r>
          </w:p>
          <w:p>
            <w:pPr>
              <w:spacing w:line="260" w:lineRule="exact"/>
              <w:rPr>
                <w:rFonts w:hint="eastAsia"/>
                <w:sz w:val="18"/>
                <w:szCs w:val="18"/>
              </w:rPr>
            </w:pPr>
            <w:r>
              <w:rPr>
                <w:rFonts w:hint="eastAsia"/>
                <w:sz w:val="18"/>
                <w:szCs w:val="18"/>
              </w:rPr>
              <w:t>（二）致病性微生物，农药残留、兽药残留、生物毒素、重金属等污染物质以及其他危害人体健康的物质含量超过食品安全标准限量的食品、食品添加剂、食品相关产品；</w:t>
            </w:r>
          </w:p>
          <w:p>
            <w:pPr>
              <w:spacing w:line="260" w:lineRule="exact"/>
              <w:rPr>
                <w:rFonts w:hint="eastAsia"/>
                <w:sz w:val="18"/>
                <w:szCs w:val="18"/>
              </w:rPr>
            </w:pPr>
            <w:r>
              <w:rPr>
                <w:rFonts w:hint="eastAsia"/>
                <w:sz w:val="18"/>
                <w:szCs w:val="18"/>
              </w:rPr>
              <w:t>（三）用超过保质期的食品原料、食品添加剂生产的食品、食品添加剂；</w:t>
            </w:r>
          </w:p>
          <w:p>
            <w:pPr>
              <w:spacing w:line="260" w:lineRule="exact"/>
              <w:rPr>
                <w:rFonts w:hint="eastAsia"/>
                <w:sz w:val="18"/>
                <w:szCs w:val="18"/>
              </w:rPr>
            </w:pPr>
            <w:r>
              <w:rPr>
                <w:rFonts w:hint="eastAsia"/>
                <w:sz w:val="18"/>
                <w:szCs w:val="18"/>
              </w:rPr>
              <w:t>（四）超范围、超限量使用食品添加剂的食品；</w:t>
            </w:r>
          </w:p>
          <w:p>
            <w:pPr>
              <w:spacing w:line="260" w:lineRule="exact"/>
              <w:rPr>
                <w:rFonts w:hint="eastAsia"/>
                <w:sz w:val="18"/>
                <w:szCs w:val="18"/>
              </w:rPr>
            </w:pPr>
            <w:r>
              <w:rPr>
                <w:rFonts w:hint="eastAsia"/>
                <w:sz w:val="18"/>
                <w:szCs w:val="18"/>
              </w:rPr>
              <w:t>（五）营养成分不符合食品安全标准的专供婴幼儿和其他特定人群的主辅食品；</w:t>
            </w:r>
          </w:p>
          <w:p>
            <w:pPr>
              <w:spacing w:line="260" w:lineRule="exact"/>
              <w:rPr>
                <w:rFonts w:hint="eastAsia"/>
                <w:sz w:val="18"/>
                <w:szCs w:val="18"/>
              </w:rPr>
            </w:pPr>
            <w:r>
              <w:rPr>
                <w:rFonts w:hint="eastAsia"/>
                <w:sz w:val="18"/>
                <w:szCs w:val="18"/>
              </w:rPr>
              <w:t>（六）腐败变质、油脂酸败、霉变生虫、污秽不洁、混有异物、掺假掺杂或者感官性状异常的食品、食品添加剂；</w:t>
            </w:r>
          </w:p>
          <w:p>
            <w:pPr>
              <w:spacing w:line="260" w:lineRule="exact"/>
              <w:rPr>
                <w:rFonts w:hint="eastAsia"/>
                <w:sz w:val="18"/>
                <w:szCs w:val="18"/>
              </w:rPr>
            </w:pPr>
            <w:r>
              <w:rPr>
                <w:rFonts w:hint="eastAsia"/>
                <w:sz w:val="18"/>
                <w:szCs w:val="18"/>
              </w:rPr>
              <w:t>（七）病死、毒死或者死因不明的禽、畜、兽、水产动物肉类及其制品；</w:t>
            </w:r>
          </w:p>
          <w:p>
            <w:pPr>
              <w:spacing w:line="260" w:lineRule="exact"/>
              <w:rPr>
                <w:rFonts w:hint="eastAsia"/>
                <w:sz w:val="18"/>
                <w:szCs w:val="18"/>
              </w:rPr>
            </w:pPr>
            <w:r>
              <w:rPr>
                <w:rFonts w:hint="eastAsia"/>
                <w:sz w:val="18"/>
                <w:szCs w:val="18"/>
              </w:rPr>
              <w:t>（八）未按规定进行检疫或者检疫不合格的肉类，或者未经检验或者检验不合格的肉类制品；</w:t>
            </w:r>
          </w:p>
          <w:p>
            <w:pPr>
              <w:spacing w:line="260" w:lineRule="exact"/>
              <w:rPr>
                <w:rFonts w:hint="eastAsia"/>
                <w:sz w:val="18"/>
                <w:szCs w:val="18"/>
              </w:rPr>
            </w:pPr>
            <w:r>
              <w:rPr>
                <w:rFonts w:hint="eastAsia"/>
                <w:sz w:val="18"/>
                <w:szCs w:val="18"/>
              </w:rPr>
              <w:t>（九）被包装材料、容器、运输工具等污染的食品、食品添加剂；</w:t>
            </w:r>
          </w:p>
          <w:p>
            <w:pPr>
              <w:spacing w:line="260" w:lineRule="exact"/>
              <w:rPr>
                <w:rFonts w:hint="eastAsia"/>
                <w:sz w:val="18"/>
                <w:szCs w:val="18"/>
              </w:rPr>
            </w:pPr>
            <w:r>
              <w:rPr>
                <w:rFonts w:hint="eastAsia"/>
                <w:sz w:val="18"/>
                <w:szCs w:val="18"/>
              </w:rPr>
              <w:t>（十）标注虚假生产日期、保质期或者超过保质期的食品、食品添加剂；</w:t>
            </w:r>
          </w:p>
          <w:p>
            <w:pPr>
              <w:spacing w:line="260" w:lineRule="exact"/>
              <w:rPr>
                <w:rFonts w:hint="eastAsia"/>
                <w:sz w:val="18"/>
                <w:szCs w:val="18"/>
              </w:rPr>
            </w:pPr>
            <w:r>
              <w:rPr>
                <w:rFonts w:hint="eastAsia"/>
                <w:sz w:val="18"/>
                <w:szCs w:val="18"/>
              </w:rPr>
              <w:t>（十一）无标签的预包装食品、食品添加剂；</w:t>
            </w:r>
          </w:p>
          <w:p>
            <w:pPr>
              <w:spacing w:line="260" w:lineRule="exact"/>
              <w:rPr>
                <w:rFonts w:hint="eastAsia"/>
                <w:sz w:val="18"/>
                <w:szCs w:val="18"/>
              </w:rPr>
            </w:pPr>
            <w:r>
              <w:rPr>
                <w:rFonts w:hint="eastAsia"/>
                <w:sz w:val="18"/>
                <w:szCs w:val="18"/>
              </w:rPr>
              <w:t>（十二）国家为防病等特殊需要明令禁止生产经营的食品（</w:t>
            </w:r>
            <w:r>
              <w:rPr>
                <w:sz w:val="18"/>
                <w:szCs w:val="18"/>
              </w:rPr>
              <w:t>如河豚鱼）</w:t>
            </w:r>
            <w:r>
              <w:rPr>
                <w:rFonts w:hint="eastAsia"/>
                <w:sz w:val="18"/>
                <w:szCs w:val="18"/>
              </w:rPr>
              <w:t>；</w:t>
            </w:r>
          </w:p>
          <w:p>
            <w:pPr>
              <w:spacing w:line="260" w:lineRule="exact"/>
              <w:rPr>
                <w:rFonts w:hint="eastAsia"/>
                <w:sz w:val="18"/>
                <w:szCs w:val="18"/>
              </w:rPr>
            </w:pPr>
            <w:r>
              <w:rPr>
                <w:rFonts w:hint="eastAsia"/>
                <w:sz w:val="18"/>
                <w:szCs w:val="18"/>
              </w:rPr>
              <w:t>（十三）其他不符合法律、法规或者食品安全标准的食品、食品添加剂、食品相关产品。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2</w:t>
            </w:r>
          </w:p>
        </w:tc>
        <w:tc>
          <w:tcPr>
            <w:tcW w:w="9808" w:type="dxa"/>
            <w:vAlign w:val="center"/>
          </w:tcPr>
          <w:p>
            <w:pPr>
              <w:spacing w:line="260" w:lineRule="exact"/>
              <w:rPr>
                <w:sz w:val="18"/>
                <w:szCs w:val="18"/>
              </w:rPr>
            </w:pPr>
            <w:r>
              <w:rPr>
                <w:sz w:val="18"/>
                <w:szCs w:val="18"/>
              </w:rPr>
              <w:t>来源不明的食品、</w:t>
            </w:r>
            <w:r>
              <w:rPr>
                <w:rFonts w:hint="eastAsia"/>
                <w:sz w:val="18"/>
                <w:szCs w:val="18"/>
              </w:rPr>
              <w:t>食品</w:t>
            </w:r>
            <w:r>
              <w:rPr>
                <w:sz w:val="18"/>
                <w:szCs w:val="18"/>
              </w:rPr>
              <w:t>原料、食品相关产品</w:t>
            </w:r>
            <w:r>
              <w:rPr>
                <w:rFonts w:hint="eastAsia"/>
                <w:sz w:val="18"/>
                <w:szCs w:val="18"/>
              </w:rPr>
              <w:t>（如一次性餐具等）。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3</w:t>
            </w:r>
          </w:p>
        </w:tc>
        <w:tc>
          <w:tcPr>
            <w:tcW w:w="9808" w:type="dxa"/>
            <w:vAlign w:val="center"/>
          </w:tcPr>
          <w:p>
            <w:pPr>
              <w:spacing w:line="260" w:lineRule="exact"/>
              <w:rPr>
                <w:sz w:val="18"/>
                <w:szCs w:val="18"/>
              </w:rPr>
            </w:pPr>
            <w:r>
              <w:rPr>
                <w:sz w:val="18"/>
                <w:szCs w:val="18"/>
              </w:rPr>
              <w:t>未经烧熟煮透的食品</w:t>
            </w:r>
            <w:r>
              <w:rPr>
                <w:rFonts w:hint="eastAsia"/>
                <w:sz w:val="18"/>
                <w:szCs w:val="18"/>
              </w:rPr>
              <w:t>、</w:t>
            </w:r>
            <w:r>
              <w:rPr>
                <w:sz w:val="18"/>
                <w:szCs w:val="18"/>
              </w:rPr>
              <w:t>凉拌菜、外购的散装直接入口熟食制品</w:t>
            </w:r>
            <w:r>
              <w:rPr>
                <w:rFonts w:hint="eastAsia"/>
                <w:sz w:val="18"/>
                <w:szCs w:val="18"/>
              </w:rPr>
              <w:t>、</w:t>
            </w:r>
            <w:r>
              <w:rPr>
                <w:sz w:val="18"/>
                <w:szCs w:val="18"/>
              </w:rPr>
              <w:t>食用过的剩余食品</w:t>
            </w:r>
            <w:r>
              <w:rPr>
                <w:rFonts w:hint="eastAsia"/>
                <w:sz w:val="18"/>
                <w:szCs w:val="18"/>
              </w:rPr>
              <w:t>（</w:t>
            </w:r>
            <w:r>
              <w:rPr>
                <w:sz w:val="18"/>
                <w:szCs w:val="18"/>
              </w:rPr>
              <w:t>包括用食用过的剩余食品</w:t>
            </w:r>
            <w:r>
              <w:rPr>
                <w:rFonts w:hint="eastAsia"/>
                <w:sz w:val="18"/>
                <w:szCs w:val="18"/>
              </w:rPr>
              <w:t>加工制成</w:t>
            </w:r>
            <w:r>
              <w:rPr>
                <w:sz w:val="18"/>
                <w:szCs w:val="18"/>
              </w:rPr>
              <w:t>的</w:t>
            </w:r>
            <w:r>
              <w:rPr>
                <w:rFonts w:hint="eastAsia"/>
                <w:sz w:val="18"/>
                <w:szCs w:val="18"/>
              </w:rPr>
              <w:t>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4</w:t>
            </w:r>
          </w:p>
        </w:tc>
        <w:tc>
          <w:tcPr>
            <w:tcW w:w="9808" w:type="dxa"/>
            <w:vAlign w:val="center"/>
          </w:tcPr>
          <w:p>
            <w:pPr>
              <w:spacing w:line="260" w:lineRule="exact"/>
              <w:rPr>
                <w:sz w:val="18"/>
                <w:szCs w:val="18"/>
              </w:rPr>
            </w:pPr>
            <w:r>
              <w:rPr>
                <w:rFonts w:hint="eastAsia"/>
                <w:sz w:val="18"/>
                <w:szCs w:val="18"/>
              </w:rPr>
              <w:t>生蔬菜沙拉、土笋冻、冻章鱼、裱花蛋糕，</w:t>
            </w:r>
            <w:r>
              <w:rPr>
                <w:sz w:val="18"/>
                <w:szCs w:val="18"/>
              </w:rPr>
              <w:t>生食水产品</w:t>
            </w:r>
            <w:r>
              <w:rPr>
                <w:rFonts w:hint="eastAsia"/>
                <w:sz w:val="18"/>
                <w:szCs w:val="18"/>
              </w:rPr>
              <w:t>（包括海蜇、海带、海产贝类、深海鱼、虾、蟹及其炝制、酱制、腌制、冰制品）。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5</w:t>
            </w:r>
          </w:p>
        </w:tc>
        <w:tc>
          <w:tcPr>
            <w:tcW w:w="9808" w:type="dxa"/>
            <w:vAlign w:val="center"/>
          </w:tcPr>
          <w:p>
            <w:pPr>
              <w:spacing w:line="260" w:lineRule="exact"/>
              <w:rPr>
                <w:sz w:val="18"/>
                <w:szCs w:val="18"/>
              </w:rPr>
            </w:pPr>
            <w:r>
              <w:rPr>
                <w:rFonts w:hint="eastAsia"/>
                <w:sz w:val="18"/>
                <w:szCs w:val="18"/>
              </w:rPr>
              <w:t>已死的甲鱼、黄鳝、蟹等水产品。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6</w:t>
            </w:r>
          </w:p>
        </w:tc>
        <w:tc>
          <w:tcPr>
            <w:tcW w:w="9808" w:type="dxa"/>
            <w:vAlign w:val="center"/>
          </w:tcPr>
          <w:p>
            <w:pPr>
              <w:spacing w:line="260" w:lineRule="exact"/>
              <w:rPr>
                <w:rFonts w:hint="eastAsia"/>
                <w:sz w:val="18"/>
                <w:szCs w:val="18"/>
              </w:rPr>
            </w:pPr>
            <w:r>
              <w:rPr>
                <w:rFonts w:hint="eastAsia"/>
                <w:sz w:val="18"/>
                <w:szCs w:val="18"/>
              </w:rPr>
              <w:t>食品添加剂（</w:t>
            </w:r>
            <w:r>
              <w:rPr>
                <w:sz w:val="18"/>
                <w:szCs w:val="18"/>
              </w:rPr>
              <w:t>特别是</w:t>
            </w:r>
            <w:r>
              <w:rPr>
                <w:rFonts w:hint="eastAsia"/>
                <w:sz w:val="18"/>
                <w:szCs w:val="18"/>
              </w:rPr>
              <w:t>硝酸盐、亚硝酸盐）。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spacing w:line="260" w:lineRule="exact"/>
              <w:jc w:val="center"/>
              <w:rPr>
                <w:sz w:val="18"/>
                <w:szCs w:val="18"/>
              </w:rPr>
            </w:pPr>
            <w:r>
              <w:rPr>
                <w:rFonts w:hint="eastAsia"/>
                <w:sz w:val="18"/>
                <w:szCs w:val="18"/>
              </w:rPr>
              <w:t>7</w:t>
            </w:r>
          </w:p>
        </w:tc>
        <w:tc>
          <w:tcPr>
            <w:tcW w:w="9808" w:type="dxa"/>
            <w:vAlign w:val="center"/>
          </w:tcPr>
          <w:p>
            <w:pPr>
              <w:spacing w:line="260" w:lineRule="exact"/>
              <w:rPr>
                <w:sz w:val="18"/>
                <w:szCs w:val="18"/>
              </w:rPr>
            </w:pPr>
            <w:r>
              <w:rPr>
                <w:rFonts w:hint="eastAsia"/>
                <w:sz w:val="18"/>
                <w:szCs w:val="18"/>
              </w:rPr>
              <w:t>河豚鱼、鲐鱼、青条鱼、金枪鱼、秋刀鱼、毛蚶、织纹螺、荔枝螺、泥螺、狗肝、鲨鱼肝、青鱼胆、野生蘑菇、杏仁、枇杷仁、木薯、发芽马铃薯、牲畜甲状腺及其它不明动物的器官、组织和腺体。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tcBorders>
              <w:bottom w:val="single" w:color="auto" w:sz="4" w:space="0"/>
            </w:tcBorders>
            <w:vAlign w:val="center"/>
          </w:tcPr>
          <w:p>
            <w:pPr>
              <w:spacing w:line="260" w:lineRule="exact"/>
              <w:jc w:val="center"/>
              <w:rPr>
                <w:sz w:val="18"/>
                <w:szCs w:val="18"/>
              </w:rPr>
            </w:pPr>
            <w:r>
              <w:rPr>
                <w:rFonts w:hint="eastAsia"/>
                <w:sz w:val="18"/>
                <w:szCs w:val="18"/>
              </w:rPr>
              <w:t>8</w:t>
            </w:r>
          </w:p>
        </w:tc>
        <w:tc>
          <w:tcPr>
            <w:tcW w:w="9808" w:type="dxa"/>
            <w:tcBorders>
              <w:bottom w:val="single" w:color="auto" w:sz="4" w:space="0"/>
            </w:tcBorders>
            <w:vAlign w:val="center"/>
          </w:tcPr>
          <w:p>
            <w:pPr>
              <w:spacing w:line="260" w:lineRule="exact"/>
              <w:rPr>
                <w:sz w:val="18"/>
                <w:szCs w:val="18"/>
              </w:rPr>
            </w:pPr>
            <w:r>
              <w:rPr>
                <w:rFonts w:hint="eastAsia"/>
                <w:sz w:val="18"/>
                <w:szCs w:val="18"/>
              </w:rPr>
              <w:t>除下列《既是食品又是药品的物品名单》列出的药材外，不在食品中添加其他药材。</w:t>
            </w:r>
          </w:p>
          <w:p>
            <w:pPr>
              <w:spacing w:line="260" w:lineRule="exact"/>
              <w:rPr>
                <w:sz w:val="18"/>
                <w:szCs w:val="18"/>
              </w:rPr>
            </w:pPr>
            <w:r>
              <w:rPr>
                <w:rFonts w:hint="eastAsia"/>
                <w:sz w:val="18"/>
                <w:szCs w:val="18"/>
              </w:rPr>
              <w:t>既是食品又是药品的物品名单：</w:t>
            </w:r>
            <w:r>
              <w:rPr>
                <w:sz w:val="18"/>
                <w:szCs w:val="18"/>
              </w:rPr>
              <w:t>丁香、八角茴香、刀豆、小茴香、小蓟、山药、山楂、马齿苋、乌梢蛇、乌梅、木瓜、火麻仁、代代花、玉竹、甘草、白芷、白果、白扁豆、白扁豆花、龙眼肉（桂圆）、决明子、百合、肉豆蔻、肉桂、余甘子、佛手、杏仁（甜、苦）、沙棘、牡蛎、芡实、花椒、赤小豆、阿胶、鸡内金、麦芽、昆布、枣（大枣、酸枣、黑枣）、罗汉果、郁李仁、金银花、青果、鱼腥草、姜（生姜、干姜）、枳椇子、枸杞子、栀子、砂仁、胖大海、茯苓、香橼、香薷、桃仁、桑叶、桑椹、桔红、桔梗、益智仁、荷叶、莱菔子、莲子、高良姜、淡竹叶、淡豆豉、菊花、菊苣、黄芥子、黄精、紫苏、紫苏籽、葛根、黑芝麻、黑胡椒、槐米、槐花、蒲公英、蜂蜜、榧子、酸枣仁、鲜白茅根、鲜芦根、蝮蛇、橘皮、薄荷、薏苡仁、薤白、覆盆子、藿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 w:val="18"/>
                <w:szCs w:val="18"/>
              </w:rPr>
            </w:pPr>
            <w:r>
              <w:rPr>
                <w:rFonts w:hint="eastAsia"/>
                <w:sz w:val="18"/>
                <w:szCs w:val="18"/>
              </w:rPr>
              <w:t>备注</w:t>
            </w:r>
          </w:p>
        </w:tc>
        <w:tc>
          <w:tcPr>
            <w:tcW w:w="980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spacing w:val="-2"/>
                <w:sz w:val="18"/>
                <w:szCs w:val="18"/>
              </w:rPr>
            </w:pPr>
            <w:r>
              <w:rPr>
                <w:rFonts w:hint="eastAsia"/>
                <w:spacing w:val="-2"/>
                <w:sz w:val="18"/>
                <w:szCs w:val="18"/>
              </w:rPr>
              <w:t>四季豆、扁豆含有皂素、植物血球凝集素等有毒物质，未煮熟食用容易出现中毒，建议不使用。如有使用，一定要烧熟煮透。</w:t>
            </w:r>
          </w:p>
          <w:p>
            <w:pPr>
              <w:spacing w:line="260" w:lineRule="exact"/>
              <w:rPr>
                <w:rFonts w:hint="eastAsia"/>
                <w:sz w:val="18"/>
                <w:szCs w:val="18"/>
              </w:rPr>
            </w:pPr>
            <w:r>
              <w:rPr>
                <w:rFonts w:hint="eastAsia"/>
                <w:sz w:val="18"/>
                <w:szCs w:val="18"/>
              </w:rPr>
              <w:t>鲜黄花菜含有秋水仙碱，食用后易引起食物中毒，建议不使用。如有使用</w:t>
            </w:r>
            <w:r>
              <w:rPr>
                <w:sz w:val="18"/>
                <w:szCs w:val="18"/>
              </w:rPr>
              <w:t>，</w:t>
            </w:r>
            <w:r>
              <w:rPr>
                <w:rFonts w:hint="eastAsia"/>
                <w:sz w:val="18"/>
                <w:szCs w:val="18"/>
              </w:rPr>
              <w:t>要先将花蕊摘除，之后用沸水烫过，捞出后再放入凉水中浸泡，待去除有害物质后，再彻底加热食用。</w:t>
            </w:r>
          </w:p>
          <w:p>
            <w:pPr>
              <w:spacing w:line="260" w:lineRule="exact"/>
              <w:rPr>
                <w:rFonts w:hint="eastAsia"/>
                <w:sz w:val="18"/>
                <w:szCs w:val="18"/>
              </w:rPr>
            </w:pPr>
            <w:r>
              <w:rPr>
                <w:rFonts w:hint="eastAsia"/>
                <w:sz w:val="18"/>
                <w:szCs w:val="18"/>
              </w:rPr>
              <w:t>豆浆含有皂素、胰蛋白酶抑制物等有毒物质，80℃左右时，皂素受热膨胀，泡沫上浮，形成“假沸”现象，其实此时有毒物质并没有完全破坏，如果饮用这种豆浆即会引起中毒。豆浆“假沸”后还应继续加热至100℃，然后再以文火维持煮沸5分钟左右。</w:t>
            </w:r>
          </w:p>
          <w:p>
            <w:pPr>
              <w:spacing w:line="260" w:lineRule="exact"/>
              <w:rPr>
                <w:sz w:val="18"/>
                <w:szCs w:val="18"/>
              </w:rPr>
            </w:pPr>
            <w:r>
              <w:rPr>
                <w:rFonts w:hint="eastAsia"/>
                <w:sz w:val="18"/>
                <w:szCs w:val="18"/>
              </w:rPr>
              <w:t>较大块的肉、整鸡、整鸭、整鹅等不易烧熟煮透，宜切小块进行加工。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B3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zhouyi</dc:creator>
  <cp:lastModifiedBy>zhouyi</cp:lastModifiedBy>
  <dcterms:modified xsi:type="dcterms:W3CDTF">2017-08-17T03:00:10Z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