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381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1310"/>
        <w:gridCol w:w="4718"/>
        <w:gridCol w:w="1278"/>
        <w:gridCol w:w="801"/>
        <w:gridCol w:w="909"/>
        <w:gridCol w:w="1830"/>
        <w:gridCol w:w="1176"/>
        <w:gridCol w:w="1584"/>
        <w:gridCol w:w="2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330" w:hRule="atLeast"/>
        </w:trPr>
        <w:tc>
          <w:tcPr>
            <w:tcW w:w="1310" w:type="dxa"/>
            <w:vAlign w:val="center"/>
          </w:tcPr>
          <w:p>
            <w:pPr>
              <w:kinsoku/>
              <w:autoSpaceDE/>
              <w:autoSpaceDN w:val="0"/>
              <w:jc w:val="left"/>
              <w:textAlignment w:val="center"/>
              <w:rPr>
                <w:rFonts w:hint="default" w:ascii="仿宋_GB2312" w:hAnsi="仿宋_GB2312" w:eastAsia="仿宋_GB2312"/>
                <w:b w:val="0"/>
                <w:i w:val="0"/>
                <w:snapToGrid/>
                <w:color w:val="000000"/>
                <w:sz w:val="28"/>
                <w:u w:val="none"/>
                <w:lang w:eastAsia="zh-CN"/>
              </w:rPr>
            </w:pPr>
            <w:r>
              <w:rPr>
                <w:rFonts w:hint="default" w:ascii="仿宋_GB2312" w:hAnsi="仿宋_GB2312" w:eastAsia="仿宋_GB2312"/>
                <w:b w:val="0"/>
                <w:i w:val="0"/>
                <w:snapToGrid/>
                <w:color w:val="000000"/>
                <w:sz w:val="32"/>
                <w:szCs w:val="32"/>
                <w:u w:val="none"/>
                <w:lang w:eastAsia="zh-CN"/>
              </w:rPr>
              <w:t>附件</w:t>
            </w:r>
          </w:p>
        </w:tc>
        <w:tc>
          <w:tcPr>
            <w:tcW w:w="4718" w:type="dxa"/>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2079" w:type="dxa"/>
            <w:gridSpan w:val="2"/>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3915" w:type="dxa"/>
            <w:gridSpan w:val="3"/>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c>
          <w:tcPr>
            <w:tcW w:w="1794" w:type="dxa"/>
            <w:gridSpan w:val="2"/>
            <w:vAlign w:val="center"/>
          </w:tcPr>
          <w:p>
            <w:pPr>
              <w:kinsoku/>
              <w:autoSpaceDE/>
              <w:autoSpaceDN w:val="0"/>
              <w:jc w:val="left"/>
              <w:textAlignment w:val="center"/>
              <w:rPr>
                <w:rFonts w:hint="default" w:ascii="宋体" w:hAnsi="宋体" w:eastAsia="宋体"/>
                <w:b w:val="0"/>
                <w:i w:val="0"/>
                <w:snapToGrid/>
                <w:color w:val="000000"/>
                <w:sz w:val="24"/>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35" w:hRule="atLeast"/>
        </w:trPr>
        <w:tc>
          <w:tcPr>
            <w:tcW w:w="13816" w:type="dxa"/>
            <w:gridSpan w:val="9"/>
            <w:vAlign w:val="center"/>
          </w:tcPr>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outlineLvl w:val="9"/>
              <w:rPr>
                <w:rFonts w:hint="default" w:ascii="宋体" w:hAnsi="宋体" w:eastAsia="宋体"/>
                <w:b/>
                <w:i w:val="0"/>
                <w:snapToGrid/>
                <w:color w:val="000000"/>
                <w:sz w:val="40"/>
                <w:u w:val="none"/>
                <w:lang w:eastAsia="zh-CN"/>
              </w:rPr>
            </w:pPr>
            <w:r>
              <w:rPr>
                <w:rFonts w:hint="eastAsia" w:ascii="方正小标宋简体" w:hAnsi="方正小标宋简体" w:eastAsia="方正小标宋简体" w:cs="方正小标宋简体"/>
                <w:sz w:val="44"/>
                <w:szCs w:val="44"/>
              </w:rPr>
              <w:t>厦门市海沧区迎接国家卫生城市2018年复审任务分解表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540" w:hRule="atLeast"/>
        </w:trPr>
        <w:tc>
          <w:tcPr>
            <w:tcW w:w="13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华文中宋" w:hAnsi="宋体"/>
                <w:b/>
                <w:i w:val="0"/>
                <w:snapToGrid/>
                <w:color w:val="000000"/>
                <w:sz w:val="20"/>
                <w:u w:val="none"/>
              </w:rPr>
            </w:pPr>
            <w:r>
              <w:rPr>
                <w:rFonts w:hint="default" w:ascii="华文中宋" w:hAnsi="宋体"/>
                <w:b/>
                <w:i w:val="0"/>
                <w:snapToGrid/>
                <w:color w:val="000000"/>
                <w:sz w:val="20"/>
                <w:u w:val="none"/>
              </w:rPr>
              <w:t>医疗卫生组工作任务</w:t>
            </w:r>
          </w:p>
        </w:tc>
        <w:tc>
          <w:tcPr>
            <w:tcW w:w="12506" w:type="dxa"/>
            <w:gridSpan w:val="8"/>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i w:val="0"/>
                <w:snapToGrid/>
                <w:color w:val="000000"/>
                <w:sz w:val="20"/>
                <w:u w:val="none"/>
                <w:lang w:eastAsia="zh-CN"/>
              </w:rPr>
            </w:pPr>
            <w:r>
              <w:rPr>
                <w:rFonts w:hint="default" w:ascii="宋体" w:hAnsi="宋体" w:eastAsia="宋体"/>
                <w:b/>
                <w:i w:val="0"/>
                <w:snapToGrid/>
                <w:color w:val="000000"/>
                <w:sz w:val="20"/>
                <w:u w:val="none"/>
                <w:lang w:eastAsia="zh-CN"/>
              </w:rPr>
              <w:t xml:space="preserve">一、爱国卫生组织管理 二、健康教育和健康促进  三、重点场所卫生 四、食品和生活饮用水安全 五、公共卫生与医疗服务 六、病媒生物防制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450" w:hRule="atLeast"/>
        </w:trPr>
        <w:tc>
          <w:tcPr>
            <w:tcW w:w="131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0"/>
                <w:u w:val="none"/>
                <w:lang w:eastAsia="zh-CN"/>
              </w:rPr>
            </w:pPr>
            <w:r>
              <w:rPr>
                <w:rFonts w:hint="default" w:ascii="宋体" w:hAnsi="宋体" w:eastAsia="宋体"/>
                <w:b/>
                <w:i w:val="0"/>
                <w:snapToGrid/>
                <w:color w:val="000000"/>
                <w:sz w:val="20"/>
                <w:u w:val="none"/>
                <w:lang w:eastAsia="zh-CN"/>
              </w:rPr>
              <w:t>项目</w:t>
            </w: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0"/>
                <w:u w:val="none"/>
                <w:lang w:eastAsia="zh-CN"/>
              </w:rPr>
            </w:pPr>
            <w:r>
              <w:rPr>
                <w:rFonts w:hint="default" w:ascii="宋体" w:hAnsi="宋体" w:eastAsia="宋体"/>
                <w:b/>
                <w:i w:val="0"/>
                <w:snapToGrid/>
                <w:color w:val="000000"/>
                <w:sz w:val="20"/>
                <w:u w:val="none"/>
                <w:lang w:eastAsia="zh-CN"/>
              </w:rPr>
              <w:t>国家卫生城市标准（2014版）</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0"/>
                <w:u w:val="none"/>
                <w:lang w:eastAsia="zh-CN"/>
              </w:rPr>
            </w:pPr>
            <w:r>
              <w:rPr>
                <w:rFonts w:hint="default" w:ascii="宋体" w:hAnsi="宋体" w:eastAsia="宋体"/>
                <w:b/>
                <w:i w:val="0"/>
                <w:snapToGrid/>
                <w:color w:val="000000"/>
                <w:sz w:val="20"/>
                <w:u w:val="none"/>
                <w:lang w:eastAsia="zh-CN"/>
              </w:rPr>
              <w:t>主办单位</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0"/>
                <w:u w:val="none"/>
                <w:lang w:eastAsia="zh-CN"/>
              </w:rPr>
            </w:pPr>
            <w:r>
              <w:rPr>
                <w:rFonts w:hint="default" w:ascii="宋体" w:hAnsi="宋体" w:eastAsia="宋体"/>
                <w:b/>
                <w:i w:val="0"/>
                <w:snapToGrid/>
                <w:color w:val="000000"/>
                <w:sz w:val="20"/>
                <w:u w:val="none"/>
                <w:lang w:eastAsia="zh-CN"/>
              </w:rPr>
              <w:t>协办单位</w:t>
            </w:r>
          </w:p>
        </w:tc>
        <w:tc>
          <w:tcPr>
            <w:tcW w:w="297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0"/>
                <w:u w:val="none"/>
                <w:lang w:eastAsia="zh-CN"/>
              </w:rPr>
            </w:pPr>
            <w:r>
              <w:rPr>
                <w:rFonts w:hint="default" w:ascii="宋体" w:hAnsi="宋体" w:eastAsia="宋体"/>
                <w:b/>
                <w:i w:val="0"/>
                <w:snapToGrid/>
                <w:color w:val="000000"/>
                <w:sz w:val="20"/>
                <w:u w:val="none"/>
                <w:lang w:eastAsia="zh-CN"/>
              </w:rPr>
              <w:t>完成截止时间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478" w:hRule="atLeast"/>
        </w:trPr>
        <w:tc>
          <w:tcPr>
            <w:tcW w:w="1310"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0"/>
                <w:u w:val="none"/>
                <w:lang w:eastAsia="zh-CN"/>
              </w:rPr>
            </w:pPr>
            <w:r>
              <w:rPr>
                <w:rFonts w:hint="default" w:ascii="宋体" w:hAnsi="宋体" w:eastAsia="宋体"/>
                <w:b/>
                <w:i w:val="0"/>
                <w:snapToGrid/>
                <w:color w:val="000000"/>
                <w:sz w:val="20"/>
                <w:u w:val="none"/>
                <w:lang w:eastAsia="zh-CN"/>
              </w:rPr>
              <w:t xml:space="preserve">一、爱国卫生组织管理           </w:t>
            </w: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认真贯彻落实《国务院关于加强爱国卫生工作的决定》，将爱国卫生工作纳入区政府议事日程，列入社会经济发展规划，制订爱国卫生法规的配套文件或政府规范性文件。区主要领导高度重视，各部门、各单位和广大群众积极参与爱国卫生工作。</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 xml:space="preserve">区政府办   </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区发改局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 xml:space="preserve">区爱卫办            </w:t>
            </w:r>
          </w:p>
        </w:tc>
        <w:tc>
          <w:tcPr>
            <w:tcW w:w="297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523"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辖区内各级爱卫会组织健全，成员单位分工明确、职责落实。爱卫会办公室独立或相对独立设置，人员编制能适应实际工作需要，爱国卫生工作经费纳入财政预算。街道办事处及乡镇政府配备专兼职爱国卫生工作人员，社区居委会及村委会协调做好爱国卫生工作。</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区爱卫办</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各街道</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区爱卫会各成员单位</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区财政局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区委编办</w:t>
            </w:r>
          </w:p>
        </w:tc>
        <w:tc>
          <w:tcPr>
            <w:tcW w:w="297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1121"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3、制订爱国卫生工作规划和年度计划，有部署、有总结。积极开展卫生街道、卫生社区、卫生单位等创建活动。在城乡广泛开展爱国卫生教育宣传活动。</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区爱卫办       　　　　　　</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各街道</w:t>
            </w:r>
          </w:p>
        </w:tc>
        <w:tc>
          <w:tcPr>
            <w:tcW w:w="297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839"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Times New Roman" w:hAnsi="宋体"/>
                <w:b w:val="0"/>
                <w:i w:val="0"/>
                <w:snapToGrid/>
                <w:color w:val="000000"/>
                <w:sz w:val="20"/>
                <w:u w:val="none"/>
              </w:rPr>
            </w:pPr>
            <w:r>
              <w:rPr>
                <w:rFonts w:hint="default" w:ascii="Times New Roman" w:hAnsi="宋体"/>
                <w:b w:val="0"/>
                <w:i w:val="0"/>
                <w:snapToGrid/>
                <w:color w:val="000000"/>
                <w:sz w:val="20"/>
                <w:u w:val="none"/>
              </w:rPr>
              <w:t>4</w:t>
            </w:r>
            <w:r>
              <w:rPr>
                <w:rFonts w:hint="default" w:ascii="宋体" w:hAnsi="宋体" w:eastAsia="宋体"/>
                <w:b w:val="0"/>
                <w:i w:val="0"/>
                <w:snapToGrid/>
                <w:color w:val="000000"/>
                <w:sz w:val="20"/>
                <w:u w:val="none"/>
                <w:lang w:eastAsia="zh-CN"/>
              </w:rPr>
              <w:t>、畅通爱国卫生建议与投诉平台，认真核实和解决群众反映的问题。群众对卫生状况满意率≥90%。</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区爱卫办</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区爱卫会各成员单位</w:t>
            </w:r>
          </w:p>
        </w:tc>
        <w:tc>
          <w:tcPr>
            <w:tcW w:w="297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trHeight w:val="645" w:hRule="atLeast"/>
        </w:trPr>
        <w:tc>
          <w:tcPr>
            <w:tcW w:w="1310"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0"/>
                <w:u w:val="none"/>
                <w:lang w:eastAsia="zh-CN"/>
              </w:rPr>
            </w:pPr>
            <w:r>
              <w:rPr>
                <w:rFonts w:hint="default" w:ascii="宋体" w:hAnsi="宋体" w:eastAsia="宋体"/>
                <w:b/>
                <w:i w:val="0"/>
                <w:snapToGrid/>
                <w:color w:val="000000"/>
                <w:sz w:val="20"/>
                <w:u w:val="none"/>
                <w:lang w:eastAsia="zh-CN"/>
              </w:rPr>
              <w:t>二、健康教育和健康促进</w:t>
            </w: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Times New Roman" w:hAnsi="宋体"/>
                <w:b w:val="0"/>
                <w:i w:val="0"/>
                <w:snapToGrid/>
                <w:color w:val="000000"/>
                <w:sz w:val="20"/>
                <w:u w:val="none"/>
              </w:rPr>
            </w:pPr>
            <w:r>
              <w:rPr>
                <w:rFonts w:hint="default" w:ascii="Times New Roman" w:hAnsi="宋体"/>
                <w:b w:val="0"/>
                <w:i w:val="0"/>
                <w:snapToGrid/>
                <w:color w:val="000000"/>
                <w:sz w:val="20"/>
                <w:u w:val="none"/>
              </w:rPr>
              <w:t>1</w:t>
            </w:r>
            <w:r>
              <w:rPr>
                <w:rFonts w:hint="default" w:ascii="宋体" w:hAnsi="宋体" w:eastAsia="宋体"/>
                <w:b w:val="0"/>
                <w:i w:val="0"/>
                <w:snapToGrid/>
                <w:color w:val="000000"/>
                <w:sz w:val="20"/>
                <w:u w:val="none"/>
                <w:lang w:eastAsia="zh-CN"/>
              </w:rPr>
              <w:t xml:space="preserve">、以《中国公民健康素养—基本知识与技能》为主要内容，广泛开展健康教育和健康促进活动。居民健康素养水平达到卫生事业发展规划要求。    </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各街道</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区卫计局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各相关单位</w:t>
            </w:r>
          </w:p>
        </w:tc>
        <w:tc>
          <w:tcPr>
            <w:tcW w:w="2970" w:type="dxa"/>
            <w:gridSpan w:val="3"/>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1275"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2、健康教育网络健全，各主要媒体设有健康教育栏目。车站、机场、港口、广场和公园等公共场所设立的电子屏幕和公益广告等应当具有健康教育内容。社区、医院、学校等积极开展健康教育活动。</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区卫计局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各街道</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区委宣传部</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区交通局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区城管执法局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城建集团</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区教育局</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750"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3、广泛开展全民健身活动，机关、企事业单位落实工作场所工间操制度。80%以上的社区建有体育健身设施。经常参加体育锻炼的人数比率达到30%以上。每千人口至少有2名社会体育指导员。</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区文体局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 xml:space="preserve">区机关事务管理局        </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区爱卫会</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各成员单位</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1920"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4、深入开展禁烟、控烟宣传活动，禁止烟草广告。开展无烟学校、无烟机关、无烟医疗卫生机构等无烟场所建设。室内公共场所、工作场所和公共交通工具设置禁止吸烟警语和标识。</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区卫计局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各街道</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区委宣传部</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区文明办</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区文体局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区市场监督管理局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 xml:space="preserve">区交通局  </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区机关事务管理中心</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 xml:space="preserve">区教育局 </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 xml:space="preserve">区旅游局                   </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960"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5、在城市醒目位置设置“国家卫生城市”标识，接受社会监督。</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 xml:space="preserve">区委宣传部   </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区爱卫办</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区城管执法局　</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城建集团</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 xml:space="preserve">各街道                    </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630" w:hRule="atLeast"/>
        </w:trPr>
        <w:tc>
          <w:tcPr>
            <w:tcW w:w="1310"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0"/>
                <w:u w:val="none"/>
                <w:lang w:eastAsia="zh-CN"/>
              </w:rPr>
            </w:pPr>
            <w:r>
              <w:rPr>
                <w:rFonts w:hint="default" w:ascii="宋体" w:hAnsi="宋体" w:eastAsia="宋体"/>
                <w:b/>
                <w:i w:val="0"/>
                <w:snapToGrid/>
                <w:color w:val="000000"/>
                <w:sz w:val="20"/>
                <w:u w:val="none"/>
                <w:lang w:eastAsia="zh-CN"/>
              </w:rPr>
              <w:t>三、重点场所卫生</w:t>
            </w: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1、贯彻落实《公共场所卫生管理条例》，开展公共场所卫生监督量化分级工作。公共场所卫生许可手续齐全有效，从业人员取得有效健康合格证明。</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区卫计局</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 xml:space="preserve">区市场监督管理局                   </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870"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2、小餐饮店、小食品店、小浴室、小美容美发、小歌舞厅、小旅店等经营资格合法，室内外环境整洁，硬件设施符合相应国家标准要求，从业人员取得有效健康合格证明。</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区市场监督管理局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区卫计局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各街道</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 xml:space="preserve">区城管执法局                 </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1065"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3、贯彻落实《学校卫生工作条例》，学校和托幼机构教室、食堂（含饮用水设施）、宿舍、厕所等教学和生活环境符合国家卫生标准或相关规定。加强传染病、学生常见病的预防控制工作，设立校医院或卫生室，配备专职卫生技术人员或兼职保健教师。开展健康学校建设活动，中小学健康教育开课率达100%。</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区教育局</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区卫计局</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1065"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4、贯彻落实《中华人民共和国职业病防治法》，用人单位作业场所职业病危害因素符合国家职业卫生标准。按照《职业健康监护技术规范》要求，对从事接触职业病危害作业的劳动者开展职业健康检查，开展职业健康教育活动。近3年未发生重大职业病危害事故。</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区安监局</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区卫计局</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1050" w:hRule="atLeast"/>
        </w:trPr>
        <w:tc>
          <w:tcPr>
            <w:tcW w:w="1310"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0"/>
                <w:u w:val="none"/>
                <w:lang w:eastAsia="zh-CN"/>
              </w:rPr>
            </w:pPr>
            <w:r>
              <w:rPr>
                <w:rFonts w:hint="default" w:ascii="宋体" w:hAnsi="宋体" w:eastAsia="宋体"/>
                <w:b/>
                <w:i w:val="0"/>
                <w:snapToGrid/>
                <w:color w:val="000000"/>
                <w:sz w:val="20"/>
                <w:u w:val="none"/>
                <w:lang w:eastAsia="zh-CN"/>
              </w:rPr>
              <w:t>四、食品和生活饮用水安全</w:t>
            </w: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1、贯彻落实《中华人民共和国食品安全法》，建立健全食品安全全程监管工作机制，近3年未发生重大食品安全事故。</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区市场监督管理局　</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区卫计局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市质监二分局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 xml:space="preserve">区农林水利局                    </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990"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2、食品生产经营单位内外环境卫生整洁，无交叉污染，食品储存、加工、销售符合卫生要求。对无固定经营场所的食品摊贩实行统一管理，规定区域、限定品种经营。</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市质监二分局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区市场监督管理局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 xml:space="preserve">区城管执法局 </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区卫计局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 xml:space="preserve">各街道        </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1260"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Times New Roman" w:hAnsi="宋体"/>
                <w:b w:val="0"/>
                <w:i w:val="0"/>
                <w:snapToGrid/>
                <w:color w:val="000000"/>
                <w:sz w:val="20"/>
                <w:u w:val="none"/>
              </w:rPr>
            </w:pPr>
            <w:r>
              <w:rPr>
                <w:rFonts w:hint="default" w:ascii="Times New Roman" w:hAnsi="宋体"/>
                <w:b w:val="0"/>
                <w:i w:val="0"/>
                <w:snapToGrid/>
                <w:color w:val="000000"/>
                <w:sz w:val="20"/>
                <w:u w:val="none"/>
              </w:rPr>
              <w:t>3</w:t>
            </w:r>
            <w:r>
              <w:rPr>
                <w:rFonts w:hint="default" w:ascii="宋体" w:hAnsi="宋体" w:eastAsia="宋体"/>
                <w:b w:val="0"/>
                <w:i w:val="0"/>
                <w:snapToGrid/>
                <w:color w:val="000000"/>
                <w:sz w:val="20"/>
                <w:u w:val="none"/>
                <w:lang w:eastAsia="zh-CN"/>
              </w:rPr>
              <w:t>、餐饮业、集体食堂餐饮服务食品安全监督量化分级管理率≥90%。食品从业人员取得有效的健康合格证明。落实清洗消毒制度，防蝇、防鼠等设施健全。</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区市场监督管理局　</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区建设局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区教育局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区城管执法局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各街道</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1020"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4、牲畜屠宰符合卫生及动物防疫要求，严格落实检疫程序。</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 xml:space="preserve">区农林水利局             </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 xml:space="preserve">各街道                                 </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1065"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Times New Roman" w:hAnsi="宋体"/>
                <w:b w:val="0"/>
                <w:i w:val="0"/>
                <w:snapToGrid/>
                <w:color w:val="000000"/>
                <w:sz w:val="20"/>
                <w:u w:val="none"/>
              </w:rPr>
            </w:pPr>
            <w:r>
              <w:rPr>
                <w:rFonts w:hint="default" w:ascii="Times New Roman" w:hAnsi="宋体"/>
                <w:b w:val="0"/>
                <w:i w:val="0"/>
                <w:snapToGrid/>
                <w:color w:val="000000"/>
                <w:sz w:val="20"/>
                <w:u w:val="none"/>
              </w:rPr>
              <w:t>5</w:t>
            </w:r>
            <w:r>
              <w:rPr>
                <w:rFonts w:hint="default" w:ascii="宋体" w:hAnsi="宋体" w:eastAsia="宋体"/>
                <w:b w:val="0"/>
                <w:i w:val="0"/>
                <w:snapToGrid/>
                <w:color w:val="000000"/>
                <w:sz w:val="20"/>
                <w:u w:val="none"/>
                <w:lang w:eastAsia="zh-CN"/>
              </w:rPr>
              <w:t>、按照《生活饮用水卫生监督管理办法》要求，市政供水、自备供水、居民小区直饮水管理规范，供水单位有卫生许可证。二次供水符合国家《二次供水设施卫生规范》的标准要求。开展水质监测工作，出厂水、管网末梢水、小区直饮水的水质检测指标达到标准要求。</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区建设局</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区卫计局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 xml:space="preserve">区市容和环境卫生管理处   </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930" w:hRule="atLeast"/>
        </w:trPr>
        <w:tc>
          <w:tcPr>
            <w:tcW w:w="1310"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0"/>
                <w:u w:val="none"/>
                <w:lang w:eastAsia="zh-CN"/>
              </w:rPr>
            </w:pPr>
            <w:r>
              <w:rPr>
                <w:rFonts w:hint="default" w:ascii="宋体" w:hAnsi="宋体" w:eastAsia="宋体"/>
                <w:b/>
                <w:i w:val="0"/>
                <w:snapToGrid/>
                <w:color w:val="000000"/>
                <w:sz w:val="20"/>
                <w:u w:val="none"/>
                <w:lang w:eastAsia="zh-CN"/>
              </w:rPr>
              <w:t>五、公共卫生与医疗服务</w:t>
            </w: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 xml:space="preserve">1、贯彻落实《中华人民共和国传染病防治法》，近3年未发生重大实验室生物安全事故和因防控措施不力导致的甲、乙类传染病暴发流行。按期完成艾滋病、结核病、血吸虫病等重点疾病预防控制规划要求。 </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区卫计局</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各街道</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945"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以街道（乡、镇）为单位适龄儿童免疫规划疫苗接种率达到90%以上。疫苗储存和运输管理、接种单位条件符合国家规定要求。制订流动人口免疫规划管理办法，居住满3个月以上的适龄儿童建卡、建证率达到95%以上。</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区卫计局</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区政府办</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区教育局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各街道</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1200"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3、开展慢性病综合防控示范区建设。实施全民健康生活方式行动，建设健康步道、健康食堂（餐厅）、健康主题公园，推广减盐、控油等慢性病防控措施。</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区卫计局</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区建设局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区市场监督管理局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区文体局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各相关单位</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各街道</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675"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4、贯彻落实《中华人民共和国精神卫生法》，健全工作机构，完善严重精神障碍救治管理工作网络，严重精神障碍患者管理率达到75%以上。</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区卫计局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海沧公安分局</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各街道</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960"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5、辖区内疾病预防控制机构设置合理，人员、经费能够满足工作需要，疾病预防控制中心基础设施建设达到《疾病预防控制中心建设标准》要求，实验室检验设备装备达标率达到90%以上。</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区卫计局</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区发改局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区财政局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区委编办</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各街道</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600"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6、无偿献血能够满足临床用血需要，临床用血100%来自自愿无偿献血。建成区无非法行医、非法采供血和非法医疗广告。</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区卫计局</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 xml:space="preserve">各相关单位             </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840"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7、每个街道办事处范围或3-10万服务人口设置一所社区卫生服务中心，每个乡镇设置一所政府举办的乡镇卫生院。基层医疗卫生机构标准化建设达标率达到95%以上。</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区卫计局</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851"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Times New Roman" w:hAnsi="宋体"/>
                <w:b w:val="0"/>
                <w:i w:val="0"/>
                <w:snapToGrid/>
                <w:color w:val="000000"/>
                <w:sz w:val="20"/>
                <w:u w:val="none"/>
              </w:rPr>
            </w:pPr>
            <w:r>
              <w:rPr>
                <w:rFonts w:hint="default" w:ascii="Times New Roman" w:hAnsi="宋体"/>
                <w:b w:val="0"/>
                <w:i w:val="0"/>
                <w:snapToGrid/>
                <w:color w:val="000000"/>
                <w:sz w:val="20"/>
                <w:u w:val="none"/>
              </w:rPr>
              <w:t>8</w:t>
            </w:r>
            <w:r>
              <w:rPr>
                <w:rFonts w:hint="default" w:ascii="宋体" w:hAnsi="宋体" w:eastAsia="宋体"/>
                <w:b w:val="0"/>
                <w:i w:val="0"/>
                <w:snapToGrid/>
                <w:color w:val="000000"/>
                <w:sz w:val="20"/>
                <w:u w:val="none"/>
                <w:lang w:eastAsia="zh-CN"/>
              </w:rPr>
              <w:t>、辖区婴儿死亡率≤12‰,5岁以下儿童死亡率≤14‰，孕产妇死亡率≤22/10万。</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区卫计局</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各相关单位</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各街道</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1802" w:hRule="atLeast"/>
        </w:trPr>
        <w:tc>
          <w:tcPr>
            <w:tcW w:w="1310"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0"/>
                <w:u w:val="none"/>
                <w:lang w:eastAsia="zh-CN"/>
              </w:rPr>
            </w:pPr>
            <w:r>
              <w:rPr>
                <w:rFonts w:hint="default" w:ascii="宋体" w:hAnsi="宋体" w:eastAsia="宋体"/>
                <w:b/>
                <w:i w:val="0"/>
                <w:snapToGrid/>
                <w:color w:val="000000"/>
                <w:sz w:val="20"/>
                <w:u w:val="none"/>
                <w:lang w:eastAsia="zh-CN"/>
              </w:rPr>
              <w:t>六、病媒生物防制</w:t>
            </w: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贯彻落实《病媒生物预防控制管理规定》，建立政府组织与全社会参与相结合的病媒生物防控机制，机关、企事业单位和社区定期开展病媒生物预防控制活动，针对区域内危害严重的病媒生物种类和公共外环境，适时组织集中统一控制行动。建成区鼠、蚊、蝇、蟑螂的密度达到国家病媒生物密度控制水平标准C级要求。</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区爱卫办</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区财政局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区农林水利局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区市场监督管理局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区建设局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各街道</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 xml:space="preserve">各相关单位   </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1073"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2、掌握病媒生物孳生地基本情况，制定分类处理措施，湖泊、河流、小型积水、垃圾、厕所等各类孳生环境得到有效治理。</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区爱卫办</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各街道</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区建设局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区农林水利局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 xml:space="preserve">区城管执法局 </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1110"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Times New Roman" w:hAnsi="宋体"/>
                <w:b w:val="0"/>
                <w:i w:val="0"/>
                <w:snapToGrid/>
                <w:color w:val="000000"/>
                <w:sz w:val="20"/>
                <w:u w:val="none"/>
              </w:rPr>
            </w:pPr>
            <w:r>
              <w:rPr>
                <w:rFonts w:hint="default" w:ascii="Times New Roman" w:hAnsi="宋体"/>
                <w:b w:val="0"/>
                <w:i w:val="0"/>
                <w:snapToGrid/>
                <w:color w:val="000000"/>
                <w:sz w:val="20"/>
                <w:u w:val="none"/>
              </w:rPr>
              <w:t>3</w:t>
            </w:r>
            <w:r>
              <w:rPr>
                <w:rFonts w:hint="default" w:ascii="宋体" w:hAnsi="宋体" w:eastAsia="宋体"/>
                <w:b w:val="0"/>
                <w:i w:val="0"/>
                <w:snapToGrid/>
                <w:color w:val="000000"/>
                <w:sz w:val="20"/>
                <w:u w:val="none"/>
                <w:lang w:eastAsia="zh-CN"/>
              </w:rPr>
              <w:t>、开展重要病媒生物监测调查，收集病媒生物侵害信息并及时进行处置。重点行业和单位防蚊蝇和防鼠设施合格率≥95%。</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区爱卫办</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区市场监督管理局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区商务局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各街道</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 xml:space="preserve">各相关单位   </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525" w:hRule="atLeast"/>
        </w:trPr>
        <w:tc>
          <w:tcPr>
            <w:tcW w:w="1310" w:type="dxa"/>
            <w:tcBorders>
              <w:top w:val="single" w:color="000000" w:sz="4" w:space="0"/>
              <w:left w:val="single" w:color="000000" w:sz="4" w:space="0"/>
              <w:right w:val="single" w:color="000000" w:sz="4" w:space="0"/>
            </w:tcBorders>
            <w:vAlign w:val="center"/>
          </w:tcPr>
          <w:p>
            <w:pPr>
              <w:kinsoku/>
              <w:autoSpaceDE/>
              <w:autoSpaceDN w:val="0"/>
              <w:jc w:val="center"/>
              <w:textAlignment w:val="center"/>
              <w:rPr>
                <w:rFonts w:hint="default" w:ascii="华文中宋" w:hAnsi="宋体"/>
                <w:b/>
                <w:i w:val="0"/>
                <w:snapToGrid/>
                <w:color w:val="000000"/>
                <w:sz w:val="20"/>
                <w:u w:val="none"/>
              </w:rPr>
            </w:pPr>
            <w:r>
              <w:rPr>
                <w:rFonts w:hint="default" w:ascii="华文中宋" w:hAnsi="宋体"/>
                <w:b/>
                <w:i w:val="0"/>
                <w:snapToGrid/>
                <w:color w:val="000000"/>
                <w:sz w:val="20"/>
                <w:u w:val="none"/>
              </w:rPr>
              <w:t>城市建设管理组工作任务</w:t>
            </w:r>
          </w:p>
        </w:tc>
        <w:tc>
          <w:tcPr>
            <w:tcW w:w="12296" w:type="dxa"/>
            <w:gridSpan w:val="7"/>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i w:val="0"/>
                <w:snapToGrid/>
                <w:color w:val="000000"/>
                <w:sz w:val="20"/>
                <w:u w:val="none"/>
                <w:lang w:eastAsia="zh-CN"/>
              </w:rPr>
            </w:pPr>
            <w:r>
              <w:rPr>
                <w:rFonts w:hint="default" w:ascii="宋体" w:hAnsi="宋体" w:eastAsia="宋体"/>
                <w:b/>
                <w:i w:val="0"/>
                <w:snapToGrid/>
                <w:color w:val="000000"/>
                <w:sz w:val="20"/>
                <w:u w:val="none"/>
                <w:lang w:eastAsia="zh-CN"/>
              </w:rPr>
              <w:t xml:space="preserve">一、市容环境卫生 二、环境保护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1335" w:hRule="atLeast"/>
        </w:trPr>
        <w:tc>
          <w:tcPr>
            <w:tcW w:w="1310"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0"/>
                <w:u w:val="none"/>
                <w:lang w:eastAsia="zh-CN"/>
              </w:rPr>
            </w:pPr>
            <w:r>
              <w:rPr>
                <w:rFonts w:hint="default" w:ascii="宋体" w:hAnsi="宋体" w:eastAsia="宋体"/>
                <w:b/>
                <w:i w:val="0"/>
                <w:snapToGrid/>
                <w:color w:val="000000"/>
                <w:sz w:val="20"/>
                <w:u w:val="none"/>
                <w:lang w:eastAsia="zh-CN"/>
              </w:rPr>
              <w:t>一、市容环境卫生</w:t>
            </w:r>
          </w:p>
        </w:tc>
        <w:tc>
          <w:tcPr>
            <w:tcW w:w="5996" w:type="dxa"/>
            <w:gridSpan w:val="2"/>
            <w:tcBorders>
              <w:top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市容环境卫生达到《城市容貌标准》要求。建成数字化城管系统，并正常运行。城市主次干道和街巷路面平整，主要街道无乱张贴、乱涂写、乱悬挂情况，无乱扔、乱吐现象，废物箱等垃圾收集容器配置齐全，城区无卫生死角。城市河道、湖泊等水面清洁，岸坡整洁，无垃圾杂物。建成区绿化覆盖率≥36%，人均公园绿地面积≥8.5平方米。城市功能照明完善，城市道路装灯率达到100%。</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区建设局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区城管执法局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 xml:space="preserve">各街镇    </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 xml:space="preserve">海沧规划分局                         </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1200"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2、生活垃圾收集运输体系完善，垃圾、粪便收集运输容器、车辆等设备设施全面实现密闭化，垃圾、粪便日产日清。主要街道保洁时间不低于16小时，一般街道保洁时间不低于12小时。建筑工地管理符合《建筑施工现场环境与卫生标准》要求。待建工地管理到位，规范围挡，无乱倒垃圾和乱搭乱建现象。</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区建设局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城建集团</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区城市管理执法局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区卫计局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 xml:space="preserve">区市容和环境卫生管理处                       </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1530"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3、生活垃圾、污水、粪便无害化处理设施建设、管理和污染防治符合国家有关法律、法规及标准要求。推行生活垃圾分类收集处理，餐厨垃圾初步实现分类处理和管理，建筑垃圾得到有效处置。省会城市和计划单列市实现生活垃圾全部无害化处理,生活污水全部收集和集中处理；其他城市和直辖市所辖行政区生活垃圾无害化处理率≥90%，生活污水集中处理率≥85%。</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区城管执法局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 xml:space="preserve">区建设局 </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 xml:space="preserve">城建集团  </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海沧环保局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海沧规划分局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各街道</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1290"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4、生活垃圾转运站、公共厕所等环卫设施符合《城镇环境卫生设施设置标准》、《城市公共厕所卫生标准》等要求，数量充足，布局合理，管理规范。城市主次干道、车站、机场、港口、旅游景点等公共场所的公厕不低于二类标准。</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区城管行政执法局</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海沧规划分局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区交通局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 xml:space="preserve">区旅游局            </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1470" w:hRule="atLeast"/>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sz w:val="24"/>
              </w:rPr>
            </w:pPr>
          </w:p>
        </w:tc>
        <w:tc>
          <w:tcPr>
            <w:tcW w:w="5996" w:type="dxa"/>
            <w:gridSpan w:val="2"/>
            <w:tcBorders>
              <w:top w:val="single" w:color="000000" w:sz="4" w:space="0"/>
              <w:bottom w:val="single" w:color="000000" w:sz="4" w:space="0"/>
              <w:right w:val="single" w:color="000000" w:sz="4" w:space="0"/>
            </w:tcBorders>
            <w:shd w:val="clear" w:color="auto" w:fill="auto"/>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5、集贸市场管理规范，配备卫生管理和保洁人员，环卫设施齐全。临时便民市场采取有效管理措施，保证周边市容环境卫生、交通秩序和群众正常生活秩序。达到《标准化菜市场设置与管理规范》要求的农副产品市场比例≥70%。</w:t>
            </w:r>
          </w:p>
        </w:tc>
        <w:tc>
          <w:tcPr>
            <w:tcW w:w="171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宋体" w:hAnsi="宋体" w:eastAsia="宋体"/>
                <w:b w:val="0"/>
                <w:i w:val="0"/>
                <w:snapToGrid/>
                <w:color w:val="000000"/>
                <w:sz w:val="20"/>
                <w:u w:val="none"/>
                <w:shd w:val="clear" w:color="auto" w:fill="FFFFFF"/>
                <w:lang w:eastAsia="zh-CN"/>
              </w:rPr>
            </w:pPr>
            <w:r>
              <w:rPr>
                <w:rFonts w:hint="default" w:ascii="宋体" w:hAnsi="宋体" w:eastAsia="宋体"/>
                <w:b w:val="0"/>
                <w:i w:val="0"/>
                <w:snapToGrid/>
                <w:color w:val="000000"/>
                <w:sz w:val="20"/>
                <w:u w:val="none"/>
                <w:shd w:val="clear" w:color="auto" w:fill="FFFFFF"/>
                <w:lang w:eastAsia="zh-CN"/>
              </w:rPr>
              <w:t>区市场监督管理局</w:t>
            </w:r>
            <w:r>
              <w:rPr>
                <w:rFonts w:hint="default" w:ascii="宋体" w:hAnsi="宋体" w:eastAsia="宋体"/>
                <w:b w:val="0"/>
                <w:i w:val="0"/>
                <w:snapToGrid/>
                <w:color w:val="000000"/>
                <w:sz w:val="20"/>
                <w:u w:val="none"/>
                <w:shd w:val="clear" w:color="auto" w:fill="FFFFFF"/>
                <w:lang w:eastAsia="zh-CN"/>
              </w:rPr>
              <w:br w:type="textWrapping"/>
            </w:r>
            <w:r>
              <w:rPr>
                <w:rFonts w:hint="default" w:ascii="宋体" w:hAnsi="宋体" w:eastAsia="宋体"/>
                <w:b w:val="0"/>
                <w:i w:val="0"/>
                <w:snapToGrid/>
                <w:color w:val="000000"/>
                <w:sz w:val="20"/>
                <w:u w:val="none"/>
                <w:shd w:val="clear" w:color="auto" w:fill="FFFFFF"/>
                <w:lang w:eastAsia="zh-CN"/>
              </w:rPr>
              <w:t xml:space="preserve">各街道   </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区农林水利局                                      区建设局　　　　　　　</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区城管执法局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 xml:space="preserve">区商务局 </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945" w:hRule="atLeast"/>
        </w:trPr>
        <w:tc>
          <w:tcPr>
            <w:tcW w:w="1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sz w:val="24"/>
              </w:rPr>
            </w:pPr>
          </w:p>
        </w:tc>
        <w:tc>
          <w:tcPr>
            <w:tcW w:w="5996" w:type="dxa"/>
            <w:gridSpan w:val="2"/>
            <w:tcBorders>
              <w:top w:val="single" w:color="000000" w:sz="4" w:space="0"/>
              <w:bottom w:val="single" w:color="000000" w:sz="4" w:space="0"/>
              <w:right w:val="single" w:color="000000" w:sz="4" w:space="0"/>
            </w:tcBorders>
            <w:shd w:val="clear" w:color="auto" w:fill="auto"/>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6、活禽销售市场的卫生管理规范，设立相对独立的经营区域，按照动物防疫有关要求，实行隔离宰杀，落实定期休市和清洗消毒制度，对废弃物实施规范处理。</w:t>
            </w:r>
          </w:p>
        </w:tc>
        <w:tc>
          <w:tcPr>
            <w:tcW w:w="1710" w:type="dxa"/>
            <w:gridSpan w:val="2"/>
            <w:tcBorders>
              <w:top w:val="single" w:color="000000" w:sz="4" w:space="0"/>
              <w:left w:val="single" w:color="000000" w:sz="4" w:space="0"/>
              <w:bottom w:val="single" w:color="000000" w:sz="4" w:space="0"/>
              <w:right w:val="single" w:color="000000" w:sz="4" w:space="0"/>
            </w:tcBorders>
            <w:shd w:val="solid" w:color="FFFFFF" w:fill="auto"/>
            <w:vAlign w:val="center"/>
          </w:tcPr>
          <w:p>
            <w:pPr>
              <w:shd w:val="solid" w:color="FFFFFF" w:fill="auto"/>
              <w:kinsoku/>
              <w:autoSpaceDE/>
              <w:autoSpaceDN w:val="0"/>
              <w:jc w:val="center"/>
              <w:textAlignment w:val="center"/>
              <w:rPr>
                <w:rFonts w:hint="default" w:ascii="宋体" w:hAnsi="宋体" w:eastAsia="宋体"/>
                <w:b w:val="0"/>
                <w:i w:val="0"/>
                <w:snapToGrid/>
                <w:color w:val="000000"/>
                <w:sz w:val="20"/>
                <w:u w:val="none"/>
                <w:shd w:val="clear" w:color="auto" w:fill="FFFFFF"/>
                <w:lang w:eastAsia="zh-CN"/>
              </w:rPr>
            </w:pPr>
            <w:r>
              <w:rPr>
                <w:rFonts w:hint="default" w:ascii="宋体" w:hAnsi="宋体" w:eastAsia="宋体"/>
                <w:b w:val="0"/>
                <w:i w:val="0"/>
                <w:snapToGrid/>
                <w:color w:val="000000"/>
                <w:sz w:val="20"/>
                <w:u w:val="none"/>
                <w:shd w:val="clear" w:color="auto" w:fill="FFFFFF"/>
                <w:lang w:eastAsia="zh-CN"/>
              </w:rPr>
              <w:t>区农林水利局</w:t>
            </w:r>
            <w:r>
              <w:rPr>
                <w:rFonts w:hint="default" w:ascii="宋体" w:hAnsi="宋体" w:eastAsia="宋体"/>
                <w:b w:val="0"/>
                <w:i w:val="0"/>
                <w:snapToGrid/>
                <w:color w:val="000000"/>
                <w:sz w:val="20"/>
                <w:u w:val="none"/>
                <w:shd w:val="clear" w:color="auto" w:fill="FFFFFF"/>
                <w:lang w:eastAsia="zh-CN"/>
              </w:rPr>
              <w:br w:type="textWrapping"/>
            </w:r>
            <w:r>
              <w:rPr>
                <w:rFonts w:hint="default" w:ascii="宋体" w:hAnsi="宋体" w:eastAsia="宋体"/>
                <w:b w:val="0"/>
                <w:i w:val="0"/>
                <w:snapToGrid/>
                <w:color w:val="000000"/>
                <w:sz w:val="20"/>
                <w:u w:val="none"/>
                <w:shd w:val="clear" w:color="auto" w:fill="FFFFFF"/>
                <w:lang w:eastAsia="zh-CN"/>
              </w:rPr>
              <w:t>区市场监督管理局</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各街道</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1290"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7、社区和单位建有卫生管理组织和相关制度, 卫生状况良好，环卫设施完善，垃圾日产日清，公共厕所符合卫生要求。道路平坦，绿化美化，无违章建筑，无占道经营现象。市场、饮食摊点等商业服务设施设置合理，管理规范。</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区城管执法局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区建设局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各街道</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区市场监督管理局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区交通局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区市容和环境卫生管理处</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1440"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8、城中村及城乡结合部配备专人负责卫生保洁，环卫设施布局合理，垃圾密闭收集运输，日产日清，清运率100%。有污水排放设施。公厕数量达标，符合卫生要求。路面硬化平整，无非法小广告，无乱搭乱建、乱堆乱摆、乱停乱放、乱贴乱画、乱扔乱倒现象。无违规饲养畜禽。</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区城管执法局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各街道</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区市场监督管理局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区农林水利局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区建设局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区卫计局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城建集团</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区市容和环境卫生管理处</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765" w:hRule="atLeast"/>
        </w:trPr>
        <w:tc>
          <w:tcPr>
            <w:tcW w:w="1310" w:type="dxa"/>
            <w:vMerge w:val="restart"/>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i w:val="0"/>
                <w:snapToGrid/>
                <w:color w:val="000000"/>
                <w:sz w:val="20"/>
                <w:u w:val="none"/>
                <w:lang w:eastAsia="zh-CN"/>
              </w:rPr>
            </w:pPr>
            <w:r>
              <w:rPr>
                <w:rFonts w:hint="default" w:ascii="宋体" w:hAnsi="宋体" w:eastAsia="宋体"/>
                <w:b/>
                <w:i w:val="0"/>
                <w:snapToGrid/>
                <w:color w:val="000000"/>
                <w:sz w:val="20"/>
                <w:u w:val="none"/>
                <w:lang w:eastAsia="zh-CN"/>
              </w:rPr>
              <w:t>二、环境保护</w:t>
            </w: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1、近3年辖区内未发生重大环境污染和生态破坏事故。</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海沧环保局</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区建设局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区经信局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各街道</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1860"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Times New Roman" w:hAnsi="宋体"/>
                <w:b w:val="0"/>
                <w:i w:val="0"/>
                <w:snapToGrid/>
                <w:color w:val="000000"/>
                <w:sz w:val="20"/>
                <w:u w:val="none"/>
              </w:rPr>
            </w:pPr>
            <w:r>
              <w:rPr>
                <w:rFonts w:hint="default" w:ascii="Times New Roman" w:hAnsi="宋体"/>
                <w:b w:val="0"/>
                <w:i w:val="0"/>
                <w:snapToGrid/>
                <w:color w:val="000000"/>
                <w:sz w:val="20"/>
                <w:u w:val="none"/>
              </w:rPr>
              <w:t>2</w:t>
            </w:r>
            <w:r>
              <w:rPr>
                <w:rFonts w:hint="default" w:ascii="宋体" w:hAnsi="宋体" w:eastAsia="宋体"/>
                <w:b w:val="0"/>
                <w:i w:val="0"/>
                <w:snapToGrid/>
                <w:color w:val="000000"/>
                <w:sz w:val="20"/>
                <w:u w:val="none"/>
                <w:lang w:eastAsia="zh-CN"/>
              </w:rPr>
              <w:t>、贯彻落实《中华人民共和国大气污染防治法》，环境空气质量指数(AQI)或空气污染指数（API）不超过100的天数≥300天，环境空气主要污染物年均值达到国家《环境空气质量标准》二级标准。贯彻落实《秸秆禁烧和综合利用管理办法》，秸秆综合利用率达到100%，杜绝秸秆焚烧现象。区域环境噪声平均值≤60分贝。</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海沧环保局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 xml:space="preserve">区城管执法局   </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各街道</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区建设局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区交通运输局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海沧公安分局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区经信局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区农林水利局</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1170"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3、贯彻落实《中华人民共和国水法》、《中华人民共和国水污染防治法》等法律法规，集中式饮用水水源地一级保护区水质达标率100%，安全保障达标率100%，城区内水环境功能区达到要求，未划定功能区的无劣五类水体。</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海沧环保局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各街道</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区建设局</w:t>
            </w:r>
            <w:r>
              <w:rPr>
                <w:rFonts w:hint="default" w:ascii="宋体" w:hAnsi="宋体" w:eastAsia="宋体"/>
                <w:b w:val="0"/>
                <w:i w:val="0"/>
                <w:snapToGrid/>
                <w:color w:val="000000"/>
                <w:sz w:val="20"/>
                <w:u w:val="none"/>
                <w:lang w:eastAsia="zh-CN"/>
              </w:rPr>
              <w:br w:type="textWrapping"/>
            </w:r>
            <w:r>
              <w:rPr>
                <w:rFonts w:hint="default" w:ascii="宋体" w:hAnsi="宋体" w:eastAsia="宋体"/>
                <w:b w:val="0"/>
                <w:i w:val="0"/>
                <w:snapToGrid/>
                <w:color w:val="000000"/>
                <w:sz w:val="20"/>
                <w:u w:val="none"/>
                <w:lang w:eastAsia="zh-CN"/>
              </w:rPr>
              <w:t>区农林水利局</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1170" w:hRule="atLeast"/>
        </w:trPr>
        <w:tc>
          <w:tcPr>
            <w:tcW w:w="1310" w:type="dxa"/>
            <w:vMerge w:val="continue"/>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sz w:val="24"/>
              </w:rPr>
            </w:pPr>
          </w:p>
        </w:tc>
        <w:tc>
          <w:tcPr>
            <w:tcW w:w="5996"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 xml:space="preserve">4、医疗废弃物统一由有资质的医疗废弃物处置单位处置，无医疗机构自行处置医疗废物情况。医源性污水的处理排放符合国家有关要求。 </w:t>
            </w:r>
          </w:p>
        </w:tc>
        <w:tc>
          <w:tcPr>
            <w:tcW w:w="171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区卫计局</w:t>
            </w:r>
          </w:p>
        </w:tc>
        <w:tc>
          <w:tcPr>
            <w:tcW w:w="1830" w:type="dxa"/>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 xml:space="preserve">海沧环保局            </w:t>
            </w:r>
          </w:p>
        </w:tc>
        <w:tc>
          <w:tcPr>
            <w:tcW w:w="2760" w:type="dxa"/>
            <w:gridSpan w:val="2"/>
            <w:tcBorders>
              <w:top w:val="single" w:color="000000" w:sz="4" w:space="0"/>
              <w:left w:val="single" w:color="000000" w:sz="4" w:space="0"/>
              <w:bottom w:val="single" w:color="000000" w:sz="4" w:space="0"/>
              <w:right w:val="single" w:color="000000" w:sz="4" w:space="0"/>
            </w:tcBorders>
            <w:vAlign w:val="center"/>
          </w:tcPr>
          <w:p>
            <w:pPr>
              <w:kinsoku/>
              <w:autoSpaceDE/>
              <w:autoSpaceDN w:val="0"/>
              <w:jc w:val="center"/>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第一阶段2018-6-30 第二阶段2018-8-31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Ex>
        <w:trPr>
          <w:gridAfter w:val="1"/>
          <w:wAfter w:w="210" w:type="dxa"/>
          <w:trHeight w:val="975" w:hRule="atLeast"/>
        </w:trPr>
        <w:tc>
          <w:tcPr>
            <w:tcW w:w="13606" w:type="dxa"/>
            <w:gridSpan w:val="8"/>
            <w:vAlign w:val="center"/>
          </w:tcPr>
          <w:p>
            <w:pPr>
              <w:kinsoku/>
              <w:autoSpaceDE/>
              <w:autoSpaceDN w:val="0"/>
              <w:jc w:val="left"/>
              <w:textAlignment w:val="center"/>
              <w:rPr>
                <w:rFonts w:hint="default" w:ascii="宋体" w:hAnsi="宋体" w:eastAsia="宋体"/>
                <w:b w:val="0"/>
                <w:i w:val="0"/>
                <w:snapToGrid/>
                <w:color w:val="000000"/>
                <w:sz w:val="20"/>
                <w:u w:val="none"/>
                <w:lang w:eastAsia="zh-CN"/>
              </w:rPr>
            </w:pPr>
            <w:r>
              <w:rPr>
                <w:rFonts w:hint="default" w:ascii="宋体" w:hAnsi="宋体" w:eastAsia="宋体"/>
                <w:b w:val="0"/>
                <w:i w:val="0"/>
                <w:snapToGrid/>
                <w:color w:val="000000"/>
                <w:sz w:val="20"/>
                <w:u w:val="none"/>
                <w:lang w:eastAsia="zh-CN"/>
              </w:rPr>
              <w:t>说明：1</w:t>
            </w:r>
            <w:r>
              <w:rPr>
                <w:rFonts w:hint="eastAsia" w:ascii="宋体" w:hAnsi="宋体" w:eastAsia="宋体"/>
                <w:b w:val="0"/>
                <w:i w:val="0"/>
                <w:snapToGrid/>
                <w:color w:val="000000"/>
                <w:sz w:val="20"/>
                <w:u w:val="none"/>
                <w:lang w:val="en-US" w:eastAsia="zh-CN"/>
              </w:rPr>
              <w:t>.</w:t>
            </w:r>
            <w:r>
              <w:rPr>
                <w:rFonts w:hint="default" w:ascii="宋体" w:hAnsi="宋体" w:eastAsia="宋体"/>
                <w:b w:val="0"/>
                <w:i w:val="0"/>
                <w:snapToGrid/>
                <w:color w:val="000000"/>
                <w:sz w:val="20"/>
                <w:u w:val="none"/>
                <w:lang w:eastAsia="zh-CN"/>
              </w:rPr>
              <w:t>本任务分解表仅将各项任务及指标分解至各街道及区直各部、委、办、局，各主办部门单位应牵头协商相关协办部门单位，将任务指标再次细化分解到各责任单位和责任人</w:t>
            </w:r>
            <w:r>
              <w:rPr>
                <w:rFonts w:hint="eastAsia" w:ascii="宋体" w:hAnsi="宋体" w:eastAsia="宋体"/>
                <w:b w:val="0"/>
                <w:i w:val="0"/>
                <w:snapToGrid/>
                <w:color w:val="000000"/>
                <w:sz w:val="20"/>
                <w:u w:val="none"/>
                <w:lang w:eastAsia="zh-CN"/>
              </w:rPr>
              <w:t>。</w:t>
            </w:r>
            <w:r>
              <w:rPr>
                <w:rFonts w:hint="default" w:ascii="宋体" w:hAnsi="宋体" w:eastAsia="宋体"/>
                <w:b w:val="0"/>
                <w:i w:val="0"/>
                <w:snapToGrid/>
                <w:color w:val="000000"/>
                <w:sz w:val="20"/>
                <w:u w:val="none"/>
                <w:lang w:eastAsia="zh-CN"/>
              </w:rPr>
              <w:t>2</w:t>
            </w:r>
            <w:r>
              <w:rPr>
                <w:rFonts w:hint="eastAsia" w:ascii="宋体" w:hAnsi="宋体" w:eastAsia="宋体"/>
                <w:b w:val="0"/>
                <w:i w:val="0"/>
                <w:snapToGrid/>
                <w:color w:val="000000"/>
                <w:sz w:val="20"/>
                <w:u w:val="none"/>
                <w:lang w:val="en-US" w:eastAsia="zh-CN"/>
              </w:rPr>
              <w:t>.</w:t>
            </w:r>
            <w:r>
              <w:rPr>
                <w:rFonts w:hint="default" w:ascii="宋体" w:hAnsi="宋体" w:eastAsia="宋体"/>
                <w:b w:val="0"/>
                <w:i w:val="0"/>
                <w:snapToGrid/>
                <w:color w:val="000000"/>
                <w:sz w:val="20"/>
                <w:u w:val="none"/>
                <w:lang w:eastAsia="zh-CN"/>
              </w:rPr>
              <w:t>请各单位将第一阶段自查报告于2018年5月25日前报区爱卫办。</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86"/>
    <w:family w:val="auto"/>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581E4C"/>
    <w:rsid w:val="20581E4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link w:val="4"/>
    <w:semiHidden/>
    <w:uiPriority w:val="0"/>
    <w:rPr>
      <w:rFonts w:ascii="Tahoma" w:hAnsi="Tahoma" w:eastAsia="仿宋_GB2312"/>
      <w:sz w:val="24"/>
      <w:szCs w:val="20"/>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customStyle="1" w:styleId="4">
    <w:name w:val="Char"/>
    <w:basedOn w:val="1"/>
    <w:link w:val="3"/>
    <w:uiPriority w:val="0"/>
    <w:rPr>
      <w:rFonts w:ascii="Tahoma" w:hAnsi="Tahoma" w:eastAsia="仿宋_GB2312"/>
      <w:sz w:val="24"/>
      <w:szCs w:val="20"/>
    </w:rPr>
  </w:style>
  <w:style w:type="character" w:styleId="5">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2018-05-08T01:02:00Z</dcterms:created>
  <dc:creator>user</dc:creator>
  <cp:lastModifiedBy>user</cp:lastModifiedBy>
  <dcterms:modified xsi:type="dcterms:W3CDTF">2018-05-08T01:04:00Z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