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42"/>
        <w:gridCol w:w="1222"/>
        <w:gridCol w:w="141"/>
        <w:gridCol w:w="1248"/>
        <w:gridCol w:w="1972"/>
        <w:gridCol w:w="1248"/>
        <w:gridCol w:w="5072"/>
        <w:gridCol w:w="957"/>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30" w:hRule="atLeast"/>
        </w:trPr>
        <w:tc>
          <w:tcPr>
            <w:tcW w:w="5825" w:type="dxa"/>
            <w:gridSpan w:val="5"/>
            <w:shd w:val="solid" w:color="FFFFFF" w:fill="auto"/>
            <w:vAlign w:val="center"/>
          </w:tcPr>
          <w:p>
            <w:pPr>
              <w:widowControl w:val="0"/>
              <w:shd w:val="solid" w:color="FFFFFF" w:fill="auto"/>
              <w:wordWrap/>
              <w:autoSpaceDN w:val="0"/>
              <w:adjustRightInd/>
              <w:snapToGrid/>
              <w:spacing w:before="0" w:after="0" w:line="380" w:lineRule="exact"/>
              <w:ind w:left="0" w:leftChars="0" w:right="0" w:firstLine="0" w:firstLineChars="0"/>
              <w:jc w:val="left"/>
              <w:textAlignment w:val="center"/>
              <w:outlineLvl w:val="9"/>
              <w:rPr>
                <w:rFonts w:hint="default" w:ascii="黑体" w:hAnsi="黑体" w:eastAsia="黑体"/>
                <w:b/>
                <w:i w:val="0"/>
                <w:color w:val="000000"/>
                <w:sz w:val="32"/>
                <w:u w:val="none"/>
                <w:shd w:val="clear" w:color="auto" w:fill="FFFFFF"/>
                <w:lang w:eastAsia="zh-CN"/>
              </w:rPr>
            </w:pPr>
            <w:r>
              <w:rPr>
                <w:rFonts w:hint="default" w:ascii="黑体" w:hAnsi="黑体" w:eastAsia="黑体"/>
                <w:b w:val="0"/>
                <w:bCs/>
                <w:i w:val="0"/>
                <w:color w:val="000000"/>
                <w:sz w:val="32"/>
                <w:u w:val="none"/>
                <w:shd w:val="clear" w:color="auto" w:fill="FFFFFF"/>
                <w:lang w:eastAsia="zh-CN"/>
              </w:rPr>
              <w:t>附件</w:t>
            </w:r>
          </w:p>
        </w:tc>
        <w:tc>
          <w:tcPr>
            <w:tcW w:w="1248" w:type="dxa"/>
            <w:vAlign w:val="center"/>
          </w:tcPr>
          <w:p>
            <w:pPr>
              <w:widowControl w:val="0"/>
              <w:wordWrap/>
              <w:autoSpaceDN w:val="0"/>
              <w:adjustRightInd/>
              <w:snapToGrid/>
              <w:spacing w:before="0" w:after="0" w:line="380" w:lineRule="exact"/>
              <w:ind w:left="0" w:leftChars="0" w:right="0" w:firstLine="0" w:firstLineChars="0"/>
              <w:jc w:val="left"/>
              <w:textAlignment w:val="center"/>
              <w:outlineLvl w:val="9"/>
              <w:rPr>
                <w:rFonts w:hint="default" w:ascii="宋体" w:hAnsi="宋体" w:eastAsia="宋体"/>
                <w:b w:val="0"/>
                <w:i w:val="0"/>
                <w:color w:val="000000"/>
                <w:sz w:val="24"/>
                <w:u w:val="none"/>
                <w:lang w:eastAsia="zh-CN"/>
              </w:rPr>
            </w:pPr>
          </w:p>
        </w:tc>
        <w:tc>
          <w:tcPr>
            <w:tcW w:w="5072" w:type="dxa"/>
            <w:vAlign w:val="center"/>
          </w:tcPr>
          <w:p>
            <w:pPr>
              <w:widowControl w:val="0"/>
              <w:wordWrap/>
              <w:autoSpaceDN w:val="0"/>
              <w:adjustRightInd/>
              <w:snapToGrid/>
              <w:spacing w:before="0" w:after="0" w:line="380" w:lineRule="exact"/>
              <w:ind w:left="0" w:leftChars="0" w:right="0" w:firstLine="0" w:firstLineChars="0"/>
              <w:jc w:val="left"/>
              <w:textAlignment w:val="center"/>
              <w:outlineLvl w:val="9"/>
              <w:rPr>
                <w:rFonts w:hint="default" w:ascii="宋体" w:hAnsi="宋体" w:eastAsia="宋体"/>
                <w:b w:val="0"/>
                <w:i w:val="0"/>
                <w:color w:val="000000"/>
                <w:sz w:val="24"/>
                <w:u w:val="none"/>
                <w:lang w:eastAsia="zh-CN"/>
              </w:rPr>
            </w:pPr>
          </w:p>
        </w:tc>
        <w:tc>
          <w:tcPr>
            <w:tcW w:w="957" w:type="dxa"/>
            <w:vAlign w:val="center"/>
          </w:tcPr>
          <w:p>
            <w:pPr>
              <w:widowControl w:val="0"/>
              <w:wordWrap/>
              <w:autoSpaceDN w:val="0"/>
              <w:adjustRightInd/>
              <w:snapToGrid/>
              <w:spacing w:before="0" w:after="0" w:line="380" w:lineRule="exact"/>
              <w:ind w:left="0" w:leftChars="0" w:right="0" w:firstLine="0" w:firstLineChars="0"/>
              <w:jc w:val="left"/>
              <w:textAlignment w:val="center"/>
              <w:outlineLvl w:val="9"/>
              <w:rPr>
                <w:rFonts w:hint="default" w:ascii="宋体" w:hAnsi="宋体" w:eastAsia="宋体"/>
                <w:b w:val="0"/>
                <w:i w:val="0"/>
                <w:color w:val="000000"/>
                <w:sz w:val="24"/>
                <w:u w:val="none"/>
                <w:lang w:eastAsia="zh-CN"/>
              </w:rPr>
            </w:pPr>
          </w:p>
        </w:tc>
        <w:tc>
          <w:tcPr>
            <w:tcW w:w="1158" w:type="dxa"/>
            <w:vAlign w:val="center"/>
          </w:tcPr>
          <w:p>
            <w:pPr>
              <w:widowControl w:val="0"/>
              <w:wordWrap/>
              <w:autoSpaceDN w:val="0"/>
              <w:adjustRightInd/>
              <w:snapToGrid/>
              <w:spacing w:before="0" w:after="0" w:line="380" w:lineRule="exact"/>
              <w:ind w:left="0" w:leftChars="0" w:right="0" w:firstLine="0" w:firstLineChars="0"/>
              <w:jc w:val="left"/>
              <w:textAlignment w:val="center"/>
              <w:outlineLvl w:val="9"/>
              <w:rPr>
                <w:rFonts w:hint="default" w:ascii="宋体" w:hAnsi="宋体" w:eastAsia="宋体"/>
                <w:b w:val="0"/>
                <w:i w:val="0"/>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35" w:hRule="atLeast"/>
        </w:trPr>
        <w:tc>
          <w:tcPr>
            <w:tcW w:w="14260" w:type="dxa"/>
            <w:gridSpan w:val="9"/>
            <w:shd w:val="solid" w:color="FFFFFF" w:fill="auto"/>
            <w:vAlign w:val="center"/>
          </w:tcPr>
          <w:p>
            <w:pPr>
              <w:widowControl w:val="0"/>
              <w:shd w:val="solid" w:color="FFFFFF" w:fill="auto"/>
              <w:wordWrap/>
              <w:autoSpaceDN w:val="0"/>
              <w:adjustRightInd/>
              <w:snapToGrid/>
              <w:spacing w:before="0" w:after="0" w:line="380" w:lineRule="exact"/>
              <w:ind w:left="0" w:leftChars="0" w:right="0" w:firstLine="0" w:firstLineChars="0"/>
              <w:jc w:val="center"/>
              <w:textAlignment w:val="center"/>
              <w:outlineLvl w:val="9"/>
              <w:rPr>
                <w:rFonts w:hint="default" w:ascii="华文中宋" w:hAnsi="宋体"/>
                <w:b/>
                <w:i w:val="0"/>
                <w:color w:val="000000"/>
                <w:sz w:val="40"/>
                <w:u w:val="none"/>
                <w:shd w:val="clear" w:color="auto" w:fill="FFFFFF"/>
              </w:rPr>
            </w:pPr>
            <w:r>
              <w:rPr>
                <w:rFonts w:hint="eastAsia" w:ascii="方正小标宋简体" w:hAnsi="方正小标宋简体" w:eastAsia="方正小标宋简体" w:cs="方正小标宋简体"/>
                <w:b w:val="0"/>
                <w:bCs/>
                <w:i w:val="0"/>
                <w:color w:val="000000"/>
                <w:sz w:val="36"/>
                <w:szCs w:val="36"/>
                <w:u w:val="none"/>
                <w:shd w:val="clear" w:color="auto" w:fill="FFFFFF"/>
              </w:rPr>
              <w:t>2016年度海沧区粮食安全行政首长责任制考核评分表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5" w:hRule="atLeast"/>
        </w:trPr>
        <w:tc>
          <w:tcPr>
            <w:tcW w:w="124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考核内容</w:t>
            </w:r>
          </w:p>
        </w:tc>
        <w:tc>
          <w:tcPr>
            <w:tcW w:w="1363"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重点考核事项</w:t>
            </w:r>
          </w:p>
        </w:tc>
        <w:tc>
          <w:tcPr>
            <w:tcW w:w="124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考核指标</w:t>
            </w:r>
          </w:p>
        </w:tc>
        <w:tc>
          <w:tcPr>
            <w:tcW w:w="197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年度考核目标任务</w:t>
            </w:r>
          </w:p>
        </w:tc>
        <w:tc>
          <w:tcPr>
            <w:tcW w:w="124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07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评分标准</w:t>
            </w:r>
          </w:p>
        </w:tc>
        <w:tc>
          <w:tcPr>
            <w:tcW w:w="211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考核部门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jc w:val="center"/>
              <w:outlineLvl w:val="9"/>
              <w:rPr>
                <w:rFonts w:hint="default" w:ascii="宋体" w:hAnsi="宋体"/>
                <w:sz w:val="24"/>
              </w:rPr>
            </w:pPr>
          </w:p>
        </w:tc>
        <w:tc>
          <w:tcPr>
            <w:tcW w:w="1363"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jc w:val="center"/>
              <w:outlineLvl w:val="9"/>
              <w:rPr>
                <w:rFonts w:hint="default" w:ascii="宋体" w:hAnsi="宋体"/>
                <w:sz w:val="24"/>
              </w:rPr>
            </w:pPr>
          </w:p>
        </w:tc>
        <w:tc>
          <w:tcPr>
            <w:tcW w:w="197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jc w:val="center"/>
              <w:outlineLvl w:val="9"/>
              <w:rPr>
                <w:rFonts w:hint="default" w:ascii="宋体" w:hAnsi="宋体"/>
                <w:sz w:val="24"/>
              </w:rPr>
            </w:pPr>
          </w:p>
        </w:tc>
        <w:tc>
          <w:tcPr>
            <w:tcW w:w="124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jc w:val="center"/>
              <w:outlineLvl w:val="9"/>
              <w:rPr>
                <w:rFonts w:hint="default" w:ascii="宋体" w:hAnsi="宋体"/>
                <w:sz w:val="24"/>
              </w:rPr>
            </w:pPr>
          </w:p>
        </w:tc>
        <w:tc>
          <w:tcPr>
            <w:tcW w:w="507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jc w:val="center"/>
              <w:outlineLvl w:val="9"/>
              <w:rPr>
                <w:rFonts w:hint="default" w:ascii="宋体" w:hAnsi="宋体"/>
                <w:sz w:val="24"/>
              </w:rPr>
            </w:pPr>
          </w:p>
        </w:tc>
        <w:tc>
          <w:tcPr>
            <w:tcW w:w="957"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牵头部门</w:t>
            </w:r>
          </w:p>
        </w:tc>
        <w:tc>
          <w:tcPr>
            <w:tcW w:w="1158"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配合部门</w:t>
            </w:r>
            <w:r>
              <w:rPr>
                <w:rFonts w:hint="default" w:ascii="宋体" w:hAnsi="宋体" w:eastAsia="宋体"/>
                <w:b/>
                <w:i w:val="0"/>
                <w:color w:val="000000"/>
                <w:sz w:val="20"/>
                <w:u w:val="none"/>
                <w:shd w:val="clear" w:color="auto" w:fill="FFFFFF"/>
                <w:lang w:eastAsia="zh-CN"/>
              </w:rPr>
              <w:br w:type="textWrapping"/>
            </w:r>
            <w:r>
              <w:rPr>
                <w:rFonts w:hint="default" w:ascii="宋体" w:hAnsi="宋体" w:eastAsia="宋体"/>
                <w:b/>
                <w:i w:val="0"/>
                <w:color w:val="000000"/>
                <w:sz w:val="20"/>
                <w:u w:val="none"/>
                <w:shd w:val="clear" w:color="auto" w:fill="FFFFFF"/>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50" w:hRule="atLeast"/>
        </w:trPr>
        <w:tc>
          <w:tcPr>
            <w:tcW w:w="1242" w:type="dxa"/>
            <w:vMerge w:val="restart"/>
            <w:tcBorders>
              <w:top w:val="single" w:color="000000" w:sz="4" w:space="0"/>
              <w:left w:val="single" w:color="000000" w:sz="4" w:space="0"/>
              <w:right w:val="single" w:color="000000" w:sz="4" w:space="0"/>
            </w:tcBorders>
            <w:shd w:val="solid" w:color="FFFFFF" w:fill="auto"/>
            <w:textDirection w:val="lrTb"/>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一、确保耕地面积基本稳定、质量不下降，粮食生产稳定发展，粮食可持续生产能力不断增强(30分)</w:t>
            </w:r>
          </w:p>
        </w:tc>
        <w:tc>
          <w:tcPr>
            <w:tcW w:w="1363" w:type="dxa"/>
            <w:gridSpan w:val="2"/>
            <w:vMerge w:val="restart"/>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(一)保护耕地(12分)</w:t>
            </w:r>
          </w:p>
        </w:tc>
        <w:tc>
          <w:tcPr>
            <w:tcW w:w="124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1.耕地保有量；基本农田保护面积(6分)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(1)耕地保有量：海沧3.003万亩</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3.00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低于土地利用总体规划确定的耕地保有量，不得分；大于等于土地利用总体规划确定的耕地保有量，得3分。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土房分局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5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(2)基本农田保护面积：海沧1.3万亩</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3.00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低于土地利用总体规划确定的基本农田保护面积，不得分；大于等于土地利用总体规划确定的基本农田保护面积，得3分。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restart"/>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2.耕地质量保护与提升；耕地质量监测网络(4分)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(3)编制耕地质量保护与提升规划或方案</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编制完成本行政区域耕地质量保护与提升规划或方案的得1分，否则不得分。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土房分局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continue"/>
            <w:tcBorders>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(4)安排耕地质量保护与提升资金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每年安排本级财政专项资金支持耕地质量保护与提升的，得0.8分，否则不得分；在此基础上，年专项资金有增量增加0.2分，无增量的不得分。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3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continue"/>
            <w:tcBorders>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(5)建立耕地质量监测机构和网络</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1.20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行政部门建立耕地质量监测机构的，得0.5分、未建立0分；建立完善本行政区域耕地质量监测点网络的得0.5分、未建立完善0分；编制发布本行政区域年度耕地质量报告的得0.2分，否则不得分。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3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vMerge w:val="continue"/>
            <w:tcBorders>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(6)安排耕地质量监测网络建设资金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0.80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每年安排区本级财政专项资金支持耕地质量监测网络建设的，得0.6分；在此基础上，年专项资金有增量的得0.2分，否则不得分。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65" w:hRule="atLeast"/>
        </w:trPr>
        <w:tc>
          <w:tcPr>
            <w:tcW w:w="1242" w:type="dxa"/>
            <w:vMerge w:val="continue"/>
            <w:tcBorders>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363" w:type="dxa"/>
            <w:gridSpan w:val="2"/>
            <w:vMerge w:val="continue"/>
            <w:tcBorders>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3.耕地质量等级情况(2分)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(7)提升耕地质量等级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耕地质量等级与上年持平的，得 1.8分；等级提高的，得 2分；等级降低的，每降低0.1个等级，在1.8分基础上扣0.6分，扣完为止。</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      土房分局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70" w:hRule="atLeast"/>
        </w:trPr>
        <w:tc>
          <w:tcPr>
            <w:tcW w:w="1242" w:type="dxa"/>
            <w:vMerge w:val="restart"/>
            <w:tcBorders>
              <w:top w:val="single" w:color="000000" w:sz="4" w:space="0"/>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一、确保耕地面积基本稳定、质量不下降，粮食生产稳定发展，粮食可持续生产能力不断增强(30分)</w:t>
            </w:r>
          </w:p>
        </w:tc>
        <w:tc>
          <w:tcPr>
            <w:tcW w:w="1222" w:type="dxa"/>
            <w:vMerge w:val="restart"/>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(二)提高粮食生产能力(18分)</w:t>
            </w: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4.粮食生产科技水平(4分)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(8)主要粮食作物主导品种主推技术到位率</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主要粮食作物主导品种主推技术到位情况。主要粮食作物主导品种主推技术到位率达到90%以上的得2分，每减少2个百分点，扣0.4分，低于80%不得分。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7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(9)主要粮食作物耕种收综合机械化率</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主要粮食作物耕种收综合机械化发展情况，主要考核水稻的耕种收综合机械化水平组成。达到当年省级提出的水稻的耕种收综合机械化发展指标得2分，否则不得分。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5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5.粮食种植面积；粮食总产量(4分)</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(10)粮食播种面积</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完成区政府下达的粮食播种面积指标的得2分，否则不得分。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统计局  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FF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8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(11)粮食总产量</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完成区政府下达的粮食总产量指标的得2分，否则不得分。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20" w:hRule="atLeast"/>
        </w:trPr>
        <w:tc>
          <w:tcPr>
            <w:tcW w:w="1242" w:type="dxa"/>
            <w:vMerge w:val="continue"/>
            <w:tcBorders>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p>
        </w:tc>
        <w:tc>
          <w:tcPr>
            <w:tcW w:w="1222" w:type="dxa"/>
            <w:vMerge w:val="continue"/>
            <w:tcBorders>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6.高标准农田建设(6分)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(12)</w:t>
            </w:r>
            <w:r>
              <w:rPr>
                <w:rFonts w:hint="default" w:ascii="宋体" w:hAnsi="宋体" w:eastAsia="宋体"/>
                <w:b w:val="0"/>
                <w:i w:val="0"/>
                <w:color w:val="000000"/>
                <w:sz w:val="20"/>
                <w:u w:val="none"/>
                <w:shd w:val="clear" w:color="auto" w:fill="FFFFFF"/>
                <w:lang w:eastAsia="zh-CN"/>
              </w:rPr>
              <w:t>海沧</w:t>
            </w:r>
            <w:r>
              <w:rPr>
                <w:rFonts w:hint="default" w:ascii="Times New Roman" w:hAnsi="宋体"/>
                <w:b w:val="0"/>
                <w:i w:val="0"/>
                <w:color w:val="000000"/>
                <w:sz w:val="20"/>
                <w:u w:val="none"/>
                <w:shd w:val="clear" w:color="auto" w:fill="FFFFFF"/>
              </w:rPr>
              <w:t>500</w:t>
            </w:r>
            <w:r>
              <w:rPr>
                <w:rFonts w:hint="default" w:ascii="宋体" w:hAnsi="宋体" w:eastAsia="宋体"/>
                <w:b w:val="0"/>
                <w:i w:val="0"/>
                <w:color w:val="000000"/>
                <w:sz w:val="20"/>
                <w:u w:val="none"/>
                <w:shd w:val="clear" w:color="auto" w:fill="FFFFFF"/>
                <w:lang w:eastAsia="zh-CN"/>
              </w:rPr>
              <w:t>亩</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6.00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得分</w:t>
            </w:r>
            <w:r>
              <w:rPr>
                <w:rFonts w:hint="default" w:ascii="Times New Roman" w:hAnsi="宋体"/>
                <w:b w:val="0"/>
                <w:i w:val="0"/>
                <w:color w:val="000000"/>
                <w:sz w:val="20"/>
                <w:u w:val="none"/>
                <w:shd w:val="clear" w:color="auto" w:fill="FFFFFF"/>
              </w:rPr>
              <w:t>=</w:t>
            </w:r>
            <w:r>
              <w:rPr>
                <w:rFonts w:hint="default" w:ascii="宋体" w:hAnsi="宋体" w:eastAsia="宋体"/>
                <w:b w:val="0"/>
                <w:i w:val="0"/>
                <w:color w:val="000000"/>
                <w:sz w:val="20"/>
                <w:u w:val="none"/>
                <w:shd w:val="clear" w:color="auto" w:fill="FFFFFF"/>
                <w:lang w:eastAsia="zh-CN"/>
              </w:rPr>
              <w:t>6×（实际完成数/年度任务）。</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土房分局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1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7.农田水利设施建设(4分)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(1</w:t>
            </w:r>
            <w:r>
              <w:rPr>
                <w:rFonts w:hint="default" w:ascii="宋体" w:hAnsi="宋体" w:eastAsia="宋体"/>
                <w:b w:val="0"/>
                <w:i w:val="0"/>
                <w:color w:val="000000"/>
                <w:sz w:val="20"/>
                <w:u w:val="none"/>
                <w:shd w:val="clear" w:color="auto" w:fill="FFFFFF"/>
                <w:lang w:eastAsia="zh-CN"/>
              </w:rPr>
              <w:t>3)组织开展农田水利设施建设</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1.10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动员部署农田水利建设得0.4分；逐级落实行政首长负责制得0.2分；明确部门分工得0.1分；落实县级农田水利工程管理实施细则得0.3分；建立健全绩效考核和奖惩约束激励机制得0.1分；否则不得分。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发改委</w:t>
            </w:r>
            <w:r>
              <w:rPr>
                <w:rFonts w:hint="default" w:ascii="宋体" w:hAnsi="宋体"/>
                <w:sz w:val="24"/>
              </w:rPr>
              <w:br w:type="textWrapping"/>
            </w:r>
            <w:r>
              <w:rPr>
                <w:rFonts w:hint="default" w:ascii="宋体" w:hAnsi="宋体" w:eastAsia="宋体"/>
                <w:b w:val="0"/>
                <w:i w:val="0"/>
                <w:color w:val="000000"/>
                <w:sz w:val="20"/>
                <w:u w:val="none"/>
                <w:shd w:val="clear" w:color="auto" w:fill="FFFFFF"/>
                <w:lang w:eastAsia="zh-CN"/>
              </w:rPr>
              <w:t>财政局</w:t>
            </w:r>
            <w:r>
              <w:rPr>
                <w:rFonts w:hint="default" w:ascii="宋体" w:hAnsi="宋体"/>
                <w:sz w:val="24"/>
              </w:rPr>
              <w:br w:type="textWrapping"/>
            </w:r>
            <w:r>
              <w:rPr>
                <w:rFonts w:hint="default" w:ascii="宋体" w:hAnsi="宋体" w:eastAsia="宋体"/>
                <w:b w:val="0"/>
                <w:i w:val="0"/>
                <w:color w:val="000000"/>
                <w:sz w:val="20"/>
                <w:u w:val="none"/>
                <w:shd w:val="clear" w:color="auto" w:fill="FFFFFF"/>
                <w:lang w:eastAsia="zh-CN"/>
              </w:rPr>
              <w:t>农林水利局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9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(1</w:t>
            </w:r>
            <w:r>
              <w:rPr>
                <w:rFonts w:hint="default" w:ascii="宋体" w:hAnsi="宋体" w:eastAsia="宋体"/>
                <w:b w:val="0"/>
                <w:i w:val="0"/>
                <w:color w:val="000000"/>
                <w:sz w:val="20"/>
                <w:u w:val="none"/>
                <w:shd w:val="clear" w:color="auto" w:fill="FFFFFF"/>
                <w:lang w:eastAsia="zh-CN"/>
              </w:rPr>
              <w:t>4)持续加大农田水利设施建设投入</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1.40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出台加大市级财政投入政策文件，保持市级财政投入持续增加的得0.6分；及时足额落实地方投入得0.2分；加强涉及农田水利设施建设资金整合用于农田水利建设得0.2分；出台农田水利设施建设有关金融支持或税收优惠，以及鼓励社会资本投入政策得0.1分；落实农田水利设施管护经费得0.3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325" w:hRule="atLeast"/>
        </w:trPr>
        <w:tc>
          <w:tcPr>
            <w:tcW w:w="1242" w:type="dxa"/>
            <w:vMerge w:val="continue"/>
            <w:tcBorders>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(1</w:t>
            </w:r>
            <w:r>
              <w:rPr>
                <w:rFonts w:hint="default" w:ascii="宋体" w:hAnsi="宋体" w:eastAsia="宋体"/>
                <w:b w:val="0"/>
                <w:i w:val="0"/>
                <w:color w:val="000000"/>
                <w:sz w:val="20"/>
                <w:u w:val="none"/>
                <w:shd w:val="clear" w:color="auto" w:fill="FFFFFF"/>
                <w:lang w:eastAsia="zh-CN"/>
              </w:rPr>
              <w:t>5)加快推进农田水利设施建设</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1.50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如期完成农田水利设施建设年度项目目标任务得1.2分(有国家重大农业节水工程项目建设的按2：8比例)；保持农田有效灌溉面积稳定或提高的得0.1分；农田灌溉水有效利用系数达到每年考核目标得0.2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90" w:hRule="atLeast"/>
        </w:trPr>
        <w:tc>
          <w:tcPr>
            <w:tcW w:w="124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二、保护种粮积极性，财政对扶持粮食生产和流通的投入合理增长，提高种粮比较收益(5分)</w:t>
            </w:r>
          </w:p>
        </w:tc>
        <w:tc>
          <w:tcPr>
            <w:tcW w:w="122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(三)落实和完善粮食扶持政策(5分)</w:t>
            </w: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8.落实粮食补贴政策(3分)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(16)严格执行国家粮食相关补贴政策，确保补贴资金及时、足额发放</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按国家规定及时、足额发放补贴，没有出现弄虚作假、挤占、截留、挪用和套取补贴等违规行为的，得1分，否则不得分。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0"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(17)出台粮食相关补贴发放制度办法</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相关部门出台粮食相关补贴发放制度办法的，得1分，否则不得分。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(18)设区市财政从市级预算直接安排粮食补贴</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除中央和省级财政支持外，区财政从区级预算直接安排粮食相关补贴的，得1分，否则不得分。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46"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9.培育新型粮食生产经营主体及社会化服务体系(2分)</w:t>
            </w:r>
          </w:p>
        </w:tc>
        <w:tc>
          <w:tcPr>
            <w:tcW w:w="1972"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(19)新型职业农民培育程度考核</w:t>
            </w:r>
          </w:p>
        </w:tc>
        <w:tc>
          <w:tcPr>
            <w:tcW w:w="1248"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完成年度新型职业农民培育启动工作，得2分，否则不得分。</w:t>
            </w:r>
          </w:p>
        </w:tc>
        <w:tc>
          <w:tcPr>
            <w:tcW w:w="957"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w:t>
            </w:r>
          </w:p>
        </w:tc>
        <w:tc>
          <w:tcPr>
            <w:tcW w:w="1158"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15" w:hRule="atLeast"/>
        </w:trPr>
        <w:tc>
          <w:tcPr>
            <w:tcW w:w="1242" w:type="dxa"/>
            <w:vMerge w:val="restart"/>
            <w:tcBorders>
              <w:top w:val="single" w:color="000000" w:sz="4" w:space="0"/>
              <w:left w:val="single" w:color="auto"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三、落实地方粮食储备，增强粮食仓储能力，加强监督管理，确保地方储备粮数量真实、质量安全(20分)</w:t>
            </w:r>
          </w:p>
        </w:tc>
        <w:tc>
          <w:tcPr>
            <w:tcW w:w="122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(四)加强粮食仓储物流设施建设和管理(11分)</w:t>
            </w: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10.仓储物流设施建设(2分)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(20)支持仓储物流设施建设</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支持在辖区内的仓储物流规划和项目建设，按时完成征地任务得1分，每拖延1个月扣0.5分；积极协调项目建设过程中需要区政府解决的问题得1分。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发改局</w:t>
            </w: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     规划分局       土房分局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90" w:hRule="atLeast"/>
        </w:trPr>
        <w:tc>
          <w:tcPr>
            <w:tcW w:w="1242" w:type="dxa"/>
            <w:vMerge w:val="continue"/>
            <w:tcBorders>
              <w:top w:val="single" w:color="000000" w:sz="4" w:space="0"/>
              <w:left w:val="single" w:color="auto"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11.地方储备粮库建设(5分)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(21)支持地方储备粮库建设</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5.00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支持在辖区内的储备粮库规划和项目建设，按时完成征地任务得4分，每拖延1个月扣0.5分；积极协调项目建设过程中需要区政府解决的问题得1分。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30" w:hRule="atLeast"/>
        </w:trPr>
        <w:tc>
          <w:tcPr>
            <w:tcW w:w="1242" w:type="dxa"/>
            <w:vMerge w:val="continue"/>
            <w:tcBorders>
              <w:top w:val="single" w:color="000000" w:sz="4" w:space="0"/>
              <w:left w:val="single" w:color="auto"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12.仓储设施维修改造升级(3分)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(22)支持仓储设施维修改造升级</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3.00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支持辖区内粮食企业仓储设施维修改造升级，积极协调改造过程中需要区政府解决的问题得3分，问题得不到解决的酌情扣分。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310" w:hRule="atLeast"/>
        </w:trPr>
        <w:tc>
          <w:tcPr>
            <w:tcW w:w="1242" w:type="dxa"/>
            <w:vMerge w:val="continue"/>
            <w:tcBorders>
              <w:top w:val="single" w:color="000000" w:sz="4" w:space="0"/>
              <w:left w:val="single" w:color="auto" w:sz="4" w:space="0"/>
              <w:bottom w:val="single" w:color="auto"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13.落实国有粮食仓储物流设施保护制度(1分)</w:t>
            </w:r>
          </w:p>
        </w:tc>
        <w:tc>
          <w:tcPr>
            <w:tcW w:w="1972"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(23)宣传贯彻落实《国有粮油仓储物流设施保护方法》，协调处理破坏、侵占国有粮油仓储物流设施行为</w:t>
            </w:r>
          </w:p>
        </w:tc>
        <w:tc>
          <w:tcPr>
            <w:tcW w:w="1248"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积极协调辖区内国有粮食企业处理破坏、损坏、侵占粮油仓储物流设施行为的得1分，否则不得分。</w:t>
            </w:r>
          </w:p>
        </w:tc>
        <w:tc>
          <w:tcPr>
            <w:tcW w:w="957"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85" w:hRule="atLeast"/>
        </w:trPr>
        <w:tc>
          <w:tcPr>
            <w:tcW w:w="1242" w:type="dxa"/>
            <w:vMerge w:val="continue"/>
            <w:tcBorders>
              <w:top w:val="single" w:color="auto" w:sz="4" w:space="0"/>
              <w:left w:val="single" w:color="auto" w:sz="4" w:space="0"/>
              <w:bottom w:val="single" w:color="auto"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(五)管好地方粮食储备(9分)</w:t>
            </w:r>
          </w:p>
        </w:tc>
        <w:tc>
          <w:tcPr>
            <w:tcW w:w="1389" w:type="dxa"/>
            <w:gridSpan w:val="2"/>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14.落实地方粮食储备；完善轮换管理和库存监管机制(9分)</w:t>
            </w:r>
          </w:p>
        </w:tc>
        <w:tc>
          <w:tcPr>
            <w:tcW w:w="1972" w:type="dxa"/>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(24）监督市级储备粮安全</w:t>
            </w:r>
          </w:p>
        </w:tc>
        <w:tc>
          <w:tcPr>
            <w:tcW w:w="1248" w:type="dxa"/>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9.00 </w:t>
            </w:r>
          </w:p>
        </w:tc>
        <w:tc>
          <w:tcPr>
            <w:tcW w:w="5072" w:type="dxa"/>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监督辖区内市级储备粮安全，配合市粮食局组织春秋二季粮食库存检查得9分，缺失1次扣4.5分。</w:t>
            </w:r>
          </w:p>
        </w:tc>
        <w:tc>
          <w:tcPr>
            <w:tcW w:w="957" w:type="dxa"/>
            <w:vMerge w:val="restart"/>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vMerge w:val="restart"/>
            <w:tcBorders>
              <w:top w:val="single" w:color="auto" w:sz="4" w:space="0"/>
              <w:left w:val="single" w:color="000000" w:sz="4" w:space="0"/>
              <w:bottom w:val="single" w:color="auto" w:sz="4" w:space="0"/>
              <w:right w:val="single" w:color="auto"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2" w:hRule="atLeast"/>
        </w:trPr>
        <w:tc>
          <w:tcPr>
            <w:tcW w:w="1242" w:type="dxa"/>
            <w:vMerge w:val="continue"/>
            <w:tcBorders>
              <w:top w:val="single" w:color="auto" w:sz="4" w:space="0"/>
              <w:left w:val="single" w:color="auto" w:sz="4" w:space="0"/>
              <w:bottom w:val="single" w:color="auto"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22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sz w:val="24"/>
              </w:rPr>
            </w:pPr>
          </w:p>
        </w:tc>
        <w:tc>
          <w:tcPr>
            <w:tcW w:w="1389" w:type="dxa"/>
            <w:gridSpan w:val="2"/>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sz w:val="24"/>
              </w:rPr>
            </w:pPr>
          </w:p>
        </w:tc>
        <w:tc>
          <w:tcPr>
            <w:tcW w:w="197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1248"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507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957"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auto" w:sz="4" w:space="0"/>
              <w:left w:val="single" w:color="000000" w:sz="4" w:space="0"/>
              <w:bottom w:val="single" w:color="auto" w:sz="4" w:space="0"/>
              <w:right w:val="single" w:color="auto"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2" w:hRule="atLeast"/>
        </w:trPr>
        <w:tc>
          <w:tcPr>
            <w:tcW w:w="1242" w:type="dxa"/>
            <w:vMerge w:val="continue"/>
            <w:tcBorders>
              <w:top w:val="single" w:color="auto" w:sz="4" w:space="0"/>
              <w:left w:val="single" w:color="auto" w:sz="4" w:space="0"/>
              <w:bottom w:val="single" w:color="auto"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宋体" w:hAnsi="宋体"/>
                <w:sz w:val="24"/>
              </w:rPr>
            </w:pPr>
          </w:p>
        </w:tc>
        <w:tc>
          <w:tcPr>
            <w:tcW w:w="122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389" w:type="dxa"/>
            <w:gridSpan w:val="2"/>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sz w:val="24"/>
              </w:rPr>
            </w:pPr>
          </w:p>
        </w:tc>
        <w:tc>
          <w:tcPr>
            <w:tcW w:w="197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248"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5072"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957" w:type="dxa"/>
            <w:vMerge w:val="continue"/>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auto" w:sz="4" w:space="0"/>
              <w:left w:val="single" w:color="000000" w:sz="4" w:space="0"/>
              <w:bottom w:val="single" w:color="auto" w:sz="4" w:space="0"/>
              <w:right w:val="single" w:color="auto"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60" w:hRule="atLeast"/>
        </w:trPr>
        <w:tc>
          <w:tcPr>
            <w:tcW w:w="1242" w:type="dxa"/>
            <w:vMerge w:val="restart"/>
            <w:tcBorders>
              <w:top w:val="single" w:color="auto" w:sz="4" w:space="0"/>
              <w:left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四、完善粮食调控和监管体系，保障粮食市场供应和价格基本稳定，不出现脱销断档，维护粮食市场秩序。完善粮食应急保障体系，及时处置突发事件，确保粮食应急供应(27分)</w:t>
            </w:r>
          </w:p>
        </w:tc>
        <w:tc>
          <w:tcPr>
            <w:tcW w:w="1222" w:type="dxa"/>
            <w:vMerge w:val="restart"/>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(六)保障粮食市场供应(13分)</w:t>
            </w:r>
          </w:p>
        </w:tc>
        <w:tc>
          <w:tcPr>
            <w:tcW w:w="1389" w:type="dxa"/>
            <w:gridSpan w:val="2"/>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15.粮油供应网络建设(4分)</w:t>
            </w:r>
          </w:p>
        </w:tc>
        <w:tc>
          <w:tcPr>
            <w:tcW w:w="1972"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(25)健全粮油供应网络</w:t>
            </w:r>
          </w:p>
        </w:tc>
        <w:tc>
          <w:tcPr>
            <w:tcW w:w="1248"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4.00 </w:t>
            </w:r>
          </w:p>
        </w:tc>
        <w:tc>
          <w:tcPr>
            <w:tcW w:w="5072"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积极配合辖区内粮油供应网络建设的得4分，否则不得分。</w:t>
            </w:r>
          </w:p>
        </w:tc>
        <w:tc>
          <w:tcPr>
            <w:tcW w:w="957"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发改局    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50" w:hRule="atLeast"/>
        </w:trPr>
        <w:tc>
          <w:tcPr>
            <w:tcW w:w="1242" w:type="dxa"/>
            <w:vMerge w:val="continue"/>
            <w:tcBorders>
              <w:left w:val="single" w:color="auto" w:sz="4" w:space="0"/>
              <w:right w:val="single" w:color="000000" w:sz="4" w:space="0"/>
            </w:tcBorders>
            <w:shd w:val="solid" w:color="FFFFFF" w:fill="auto"/>
            <w:vAlign w:val="center"/>
          </w:tcPr>
          <w:p>
            <w:pPr>
              <w:widowControl w:val="0"/>
              <w:wordWrap/>
              <w:adjustRightInd/>
              <w:snapToGrid/>
              <w:spacing w:before="0" w:after="0" w:line="26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6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16.完善粮食应急预案；粮食应急供应、加工网点及配套系统建设(5分)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(26)制定粮食供应和质量安全事故应急预案，建设粮食应急供应体系</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5.00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有制定粮食供应应急预案和粮食质量安全事故应急预案并组织演练的，得</w:t>
            </w:r>
            <w:r>
              <w:rPr>
                <w:rFonts w:hint="default" w:ascii="Times New Roman" w:hAnsi="宋体"/>
                <w:b w:val="0"/>
                <w:i w:val="0"/>
                <w:color w:val="000000"/>
                <w:sz w:val="20"/>
                <w:u w:val="none"/>
                <w:shd w:val="clear" w:color="auto" w:fill="FFFFFF"/>
              </w:rPr>
              <w:t>3</w:t>
            </w:r>
            <w:r>
              <w:rPr>
                <w:rFonts w:hint="default" w:ascii="宋体" w:hAnsi="宋体" w:eastAsia="宋体"/>
                <w:b w:val="0"/>
                <w:i w:val="0"/>
                <w:color w:val="000000"/>
                <w:sz w:val="20"/>
                <w:u w:val="none"/>
                <w:shd w:val="clear" w:color="auto" w:fill="FFFFFF"/>
                <w:lang w:eastAsia="zh-CN"/>
              </w:rPr>
              <w:t>分；按照《国家粮食局关于进一步健全和落实粮食应急供应网点的通知》</w:t>
            </w:r>
            <w:r>
              <w:rPr>
                <w:rFonts w:hint="default" w:ascii="Times New Roman" w:hAnsi="宋体"/>
                <w:b w:val="0"/>
                <w:i w:val="0"/>
                <w:color w:val="000000"/>
                <w:sz w:val="20"/>
                <w:u w:val="none"/>
                <w:shd w:val="clear" w:color="auto" w:fill="FFFFFF"/>
              </w:rPr>
              <w:t>(</w:t>
            </w:r>
            <w:r>
              <w:rPr>
                <w:rFonts w:hint="default" w:ascii="宋体" w:hAnsi="宋体" w:eastAsia="宋体"/>
                <w:b w:val="0"/>
                <w:i w:val="0"/>
                <w:color w:val="000000"/>
                <w:sz w:val="20"/>
                <w:u w:val="none"/>
                <w:shd w:val="clear" w:color="auto" w:fill="FFFFFF"/>
                <w:lang w:eastAsia="zh-CN"/>
              </w:rPr>
              <w:t>国粮调〔</w:t>
            </w:r>
            <w:r>
              <w:rPr>
                <w:rFonts w:hint="default" w:ascii="Times New Roman" w:hAnsi="宋体"/>
                <w:b w:val="0"/>
                <w:i w:val="0"/>
                <w:color w:val="000000"/>
                <w:sz w:val="20"/>
                <w:u w:val="none"/>
                <w:shd w:val="clear" w:color="auto" w:fill="FFFFFF"/>
              </w:rPr>
              <w:t>2013</w:t>
            </w:r>
            <w:r>
              <w:rPr>
                <w:rFonts w:hint="default" w:ascii="宋体" w:hAnsi="宋体" w:eastAsia="宋体"/>
                <w:b w:val="0"/>
                <w:i w:val="0"/>
                <w:color w:val="000000"/>
                <w:sz w:val="20"/>
                <w:u w:val="none"/>
                <w:shd w:val="clear" w:color="auto" w:fill="FFFFFF"/>
                <w:lang w:eastAsia="zh-CN"/>
              </w:rPr>
              <w:t>〕</w:t>
            </w:r>
            <w:r>
              <w:rPr>
                <w:rFonts w:hint="default" w:ascii="Times New Roman" w:hAnsi="宋体"/>
                <w:b w:val="0"/>
                <w:i w:val="0"/>
                <w:color w:val="000000"/>
                <w:sz w:val="20"/>
                <w:u w:val="none"/>
                <w:shd w:val="clear" w:color="auto" w:fill="FFFFFF"/>
              </w:rPr>
              <w:t>115</w:t>
            </w:r>
            <w:r>
              <w:rPr>
                <w:rFonts w:hint="default" w:ascii="宋体" w:hAnsi="宋体" w:eastAsia="宋体"/>
                <w:b w:val="0"/>
                <w:i w:val="0"/>
                <w:color w:val="000000"/>
                <w:sz w:val="20"/>
                <w:u w:val="none"/>
                <w:shd w:val="clear" w:color="auto" w:fill="FFFFFF"/>
                <w:lang w:eastAsia="zh-CN"/>
              </w:rPr>
              <w:t>号</w:t>
            </w:r>
            <w:r>
              <w:rPr>
                <w:rFonts w:hint="default" w:ascii="Times New Roman" w:hAnsi="宋体"/>
                <w:b w:val="0"/>
                <w:i w:val="0"/>
                <w:color w:val="000000"/>
                <w:sz w:val="20"/>
                <w:u w:val="none"/>
                <w:shd w:val="clear" w:color="auto" w:fill="FFFFFF"/>
              </w:rPr>
              <w:t>)</w:t>
            </w:r>
            <w:r>
              <w:rPr>
                <w:rFonts w:hint="default" w:ascii="宋体" w:hAnsi="宋体" w:eastAsia="宋体"/>
                <w:b w:val="0"/>
                <w:i w:val="0"/>
                <w:color w:val="000000"/>
                <w:sz w:val="20"/>
                <w:u w:val="none"/>
                <w:shd w:val="clear" w:color="auto" w:fill="FFFFFF"/>
                <w:lang w:eastAsia="zh-CN"/>
              </w:rPr>
              <w:t>要求建立应急网络的，得</w:t>
            </w:r>
            <w:r>
              <w:rPr>
                <w:rFonts w:hint="default" w:ascii="Times New Roman" w:hAnsi="宋体"/>
                <w:b w:val="0"/>
                <w:i w:val="0"/>
                <w:color w:val="000000"/>
                <w:sz w:val="20"/>
                <w:u w:val="none"/>
                <w:shd w:val="clear" w:color="auto" w:fill="FFFFFF"/>
              </w:rPr>
              <w:t>2</w:t>
            </w:r>
            <w:r>
              <w:rPr>
                <w:rFonts w:hint="default" w:ascii="宋体" w:hAnsi="宋体" w:eastAsia="宋体"/>
                <w:b w:val="0"/>
                <w:i w:val="0"/>
                <w:color w:val="000000"/>
                <w:sz w:val="20"/>
                <w:u w:val="none"/>
                <w:shd w:val="clear" w:color="auto" w:fill="FFFFFF"/>
                <w:lang w:eastAsia="zh-CN"/>
              </w:rPr>
              <w:t>分【岛内各区按上一年度常住人口每3万人至少1个至少1个应急供应网点；岛外各区按一个乡镇、街道（或3万人以上规模社区）至少1个应急供应网点配置】；数量不足或没有建立粮食应急网点的视情扣分。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5" w:hRule="atLeast"/>
        </w:trPr>
        <w:tc>
          <w:tcPr>
            <w:tcW w:w="1242" w:type="dxa"/>
            <w:vMerge w:val="continue"/>
            <w:tcBorders>
              <w:left w:val="single" w:color="auto" w:sz="4" w:space="0"/>
              <w:right w:val="single" w:color="000000" w:sz="4" w:space="0"/>
            </w:tcBorders>
            <w:shd w:val="solid" w:color="FFFFFF" w:fill="auto"/>
            <w:vAlign w:val="center"/>
          </w:tcPr>
          <w:p>
            <w:pPr>
              <w:widowControl w:val="0"/>
              <w:wordWrap/>
              <w:adjustRightInd/>
              <w:snapToGrid/>
              <w:spacing w:before="0" w:after="0" w:line="26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6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17.落实成品粮油储备(4分)</w:t>
            </w:r>
          </w:p>
        </w:tc>
        <w:tc>
          <w:tcPr>
            <w:tcW w:w="1972"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(27)监督成品粮油储备安全</w:t>
            </w:r>
          </w:p>
        </w:tc>
        <w:tc>
          <w:tcPr>
            <w:tcW w:w="1248"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4.00 </w:t>
            </w:r>
          </w:p>
        </w:tc>
        <w:tc>
          <w:tcPr>
            <w:tcW w:w="5072"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监督辖区内成品粮油安全，配合市粮食局组织春秋二季粮食库存（包括成品粮油）检查得4分，缺失一次扣2分。</w:t>
            </w:r>
          </w:p>
        </w:tc>
        <w:tc>
          <w:tcPr>
            <w:tcW w:w="957"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70" w:hRule="atLeast"/>
        </w:trPr>
        <w:tc>
          <w:tcPr>
            <w:tcW w:w="1242" w:type="dxa"/>
            <w:vMerge w:val="continue"/>
            <w:tcBorders>
              <w:left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p>
        </w:tc>
        <w:tc>
          <w:tcPr>
            <w:tcW w:w="122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(七)完善区域粮食市场调控机制(7分)</w:t>
            </w: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18.维护粮食市场秩序，确保粮食市场基本稳定(7分)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(28)加强粮食库存检查，夯实粮食宏观调控的物质基础，增强粮食区域调控能力</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7.00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按粮食库存数量、质量和储存安全的具体检查方案，完成规定工作任务，得5分；将各级检查发现的问题和隐患建立台账，限期整改到位的，得2分；否则不得分。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FF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45" w:hRule="atLeast"/>
        </w:trPr>
        <w:tc>
          <w:tcPr>
            <w:tcW w:w="1242" w:type="dxa"/>
            <w:vMerge w:val="continue"/>
            <w:tcBorders>
              <w:left w:val="single" w:color="auto" w:sz="4" w:space="0"/>
              <w:right w:val="single" w:color="000000" w:sz="4" w:space="0"/>
            </w:tcBorders>
            <w:shd w:val="solid" w:color="FFFFFF" w:fill="auto"/>
            <w:vAlign w:val="center"/>
          </w:tcPr>
          <w:p>
            <w:pPr>
              <w:widowControl w:val="0"/>
              <w:wordWrap/>
              <w:adjustRightInd/>
              <w:snapToGrid/>
              <w:spacing w:before="0" w:after="0" w:line="260" w:lineRule="exact"/>
              <w:ind w:left="0" w:leftChars="0" w:right="0" w:firstLine="0" w:firstLineChars="0"/>
              <w:outlineLvl w:val="9"/>
              <w:rPr>
                <w:rFonts w:hint="default" w:ascii="宋体" w:hAnsi="宋体"/>
                <w:sz w:val="24"/>
              </w:rPr>
            </w:pPr>
          </w:p>
        </w:tc>
        <w:tc>
          <w:tcPr>
            <w:tcW w:w="122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(八)加强粮情监测预警(4分)</w:t>
            </w:r>
          </w:p>
        </w:tc>
        <w:tc>
          <w:tcPr>
            <w:tcW w:w="138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19.落实粮食流通统计制度；开展粮食供需平衡专项调查(2分)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(29)执行粮食流通统计制度，开展粮食供需平衡专项调查</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有指定部门和人员配合的得0.5分；落实粮食供需平衡调查户，调查数据准确的得1.5分，调查户数缺少10%以内扣0.5分，缺少10%以上扣1分（调查户数分配如下：思明区31户、湖里区34户、海沧区27户、海沧区9户、同安区21户，翔安区18户）。</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5" w:hRule="atLeast"/>
        </w:trPr>
        <w:tc>
          <w:tcPr>
            <w:tcW w:w="1242" w:type="dxa"/>
            <w:vMerge w:val="continue"/>
            <w:tcBorders>
              <w:left w:val="single" w:color="auto" w:sz="4" w:space="0"/>
              <w:bottom w:val="single" w:color="auto" w:sz="4" w:space="0"/>
              <w:right w:val="single" w:color="000000" w:sz="4" w:space="0"/>
            </w:tcBorders>
            <w:shd w:val="solid" w:color="FFFFFF" w:fill="auto"/>
            <w:vAlign w:val="center"/>
          </w:tcPr>
          <w:p>
            <w:pPr>
              <w:widowControl w:val="0"/>
              <w:wordWrap/>
              <w:adjustRightInd/>
              <w:snapToGrid/>
              <w:spacing w:before="0" w:after="0" w:line="26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wordWrap/>
              <w:autoSpaceDN w:val="0"/>
              <w:adjustRightInd/>
              <w:snapToGrid/>
              <w:spacing w:before="0" w:after="0" w:line="260" w:lineRule="exact"/>
              <w:ind w:left="0" w:leftChars="0" w:right="0" w:firstLine="0" w:firstLineChars="0"/>
              <w:jc w:val="center"/>
              <w:textAlignment w:val="auto"/>
              <w:outlineLvl w:val="9"/>
              <w:rPr>
                <w:rFonts w:hint="default" w:ascii="宋体" w:hAnsi="宋体"/>
                <w:sz w:val="24"/>
              </w:rPr>
            </w:pPr>
          </w:p>
        </w:tc>
        <w:tc>
          <w:tcPr>
            <w:tcW w:w="1389" w:type="dxa"/>
            <w:gridSpan w:val="2"/>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20.加强粮食市场监测，及时发布粮食市场信息(2分)</w:t>
            </w:r>
          </w:p>
        </w:tc>
        <w:tc>
          <w:tcPr>
            <w:tcW w:w="1972"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(30)建立粮食价格监测点，加强粮食市场监测和分析，发布粮食市场信息</w:t>
            </w:r>
          </w:p>
        </w:tc>
        <w:tc>
          <w:tcPr>
            <w:tcW w:w="1248"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建立粮食市场价格信息监测直报点的，得0.8分；督促指导直报点定期准确报送市场价格信息和价格分析材料的，得0.6分；通过信息平台发布粮食市场信息的，得0.6分；否则不得分。</w:t>
            </w:r>
          </w:p>
        </w:tc>
        <w:tc>
          <w:tcPr>
            <w:tcW w:w="957"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50" w:hRule="atLeast"/>
        </w:trPr>
        <w:tc>
          <w:tcPr>
            <w:tcW w:w="1242" w:type="dxa"/>
            <w:vMerge w:val="continue"/>
            <w:tcBorders>
              <w:top w:val="single" w:color="auto" w:sz="4" w:space="0"/>
              <w:left w:val="single" w:color="auto" w:sz="4" w:space="0"/>
              <w:bottom w:val="single" w:color="auto" w:sz="4" w:space="0"/>
              <w:right w:val="single" w:color="000000" w:sz="4" w:space="0"/>
            </w:tcBorders>
            <w:shd w:val="solid" w:color="FFFFFF" w:fill="auto"/>
            <w:vAlign w:val="center"/>
          </w:tcPr>
          <w:p>
            <w:pPr>
              <w:widowControl w:val="0"/>
              <w:wordWrap/>
              <w:adjustRightInd/>
              <w:snapToGrid/>
              <w:spacing w:before="0" w:after="0" w:line="260" w:lineRule="exact"/>
              <w:ind w:left="0" w:leftChars="0" w:right="0" w:firstLine="0" w:firstLineChars="0"/>
              <w:outlineLvl w:val="9"/>
              <w:rPr>
                <w:rFonts w:hint="default" w:ascii="宋体" w:hAnsi="宋体"/>
                <w:sz w:val="24"/>
              </w:rPr>
            </w:pPr>
          </w:p>
        </w:tc>
        <w:tc>
          <w:tcPr>
            <w:tcW w:w="1222"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(九)培育发展新型粮食市场主体(3分)</w:t>
            </w:r>
          </w:p>
        </w:tc>
        <w:tc>
          <w:tcPr>
            <w:tcW w:w="1389" w:type="dxa"/>
            <w:gridSpan w:val="2"/>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21.深化国有粮食企业改革；发展混合所有制粮食经济；培育主食产业化龙头企业(3分)</w:t>
            </w:r>
          </w:p>
        </w:tc>
        <w:tc>
          <w:tcPr>
            <w:tcW w:w="1972" w:type="dxa"/>
            <w:tcBorders>
              <w:top w:val="single" w:color="auto" w:sz="4" w:space="0"/>
              <w:bottom w:val="single" w:color="auto"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(31)建立粮食企业混合所有制经济，发展粮食产业，培育辐射范围广，带动能力强的龙头企业</w:t>
            </w:r>
          </w:p>
        </w:tc>
        <w:tc>
          <w:tcPr>
            <w:tcW w:w="1248"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3.00 </w:t>
            </w:r>
          </w:p>
        </w:tc>
        <w:tc>
          <w:tcPr>
            <w:tcW w:w="5072"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对培育多元市场主体，引入社会资本推动国有粮食企业改革改制有部署、有举措、有政策扶持或帮扶措施的的得1.5分；立足区域实际发展特色粮食产业，延伸产业链条，增强粮食产业实力的得1.5分，否则不得分。       </w:t>
            </w:r>
          </w:p>
        </w:tc>
        <w:tc>
          <w:tcPr>
            <w:tcW w:w="957" w:type="dxa"/>
            <w:tcBorders>
              <w:top w:val="single" w:color="auto" w:sz="4" w:space="0"/>
              <w:left w:val="single" w:color="000000" w:sz="4" w:space="0"/>
              <w:bottom w:val="single" w:color="auto"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auto" w:sz="4" w:space="0"/>
              <w:left w:val="single" w:color="000000" w:sz="4" w:space="0"/>
              <w:bottom w:val="single" w:color="auto" w:sz="4" w:space="0"/>
              <w:right w:val="single" w:color="auto" w:sz="4" w:space="0"/>
            </w:tcBorders>
            <w:shd w:val="solid" w:color="FFFFFF" w:fill="auto"/>
            <w:vAlign w:val="center"/>
          </w:tcPr>
          <w:p>
            <w:pPr>
              <w:widowControl w:val="0"/>
              <w:shd w:val="solid" w:color="FFFFFF" w:fill="auto"/>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1242" w:type="dxa"/>
            <w:vMerge w:val="restart"/>
            <w:tcBorders>
              <w:top w:val="single" w:color="auto" w:sz="4" w:space="0"/>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五、加强耕地污染防治，提高粮食质量安全检验监测能力和超标粮食处置能力，禁止不符合食品安全标准的粮食流入口粮市场(10分)</w:t>
            </w:r>
          </w:p>
        </w:tc>
        <w:tc>
          <w:tcPr>
            <w:tcW w:w="1222" w:type="dxa"/>
            <w:vMerge w:val="restart"/>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(十)加强源头治理(4分)</w:t>
            </w:r>
          </w:p>
        </w:tc>
        <w:tc>
          <w:tcPr>
            <w:tcW w:w="1389" w:type="dxa"/>
            <w:gridSpan w:val="2"/>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22.耕地土壤污染防治(2分)</w:t>
            </w:r>
          </w:p>
        </w:tc>
        <w:tc>
          <w:tcPr>
            <w:tcW w:w="1972"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w:t>
            </w:r>
            <w:r>
              <w:rPr>
                <w:rFonts w:hint="default" w:ascii="宋体" w:hAnsi="宋体" w:eastAsia="宋体"/>
                <w:b w:val="0"/>
                <w:i w:val="0"/>
                <w:color w:val="000000"/>
                <w:sz w:val="20"/>
                <w:u w:val="none"/>
                <w:shd w:val="clear" w:color="auto" w:fill="FFFFFF"/>
                <w:lang w:eastAsia="zh-CN"/>
              </w:rPr>
              <w:t>32)制定土壤污染防治工作方案；开展耕地土壤质量监测和土壤污染状况调查及风险评估</w:t>
            </w:r>
          </w:p>
        </w:tc>
        <w:tc>
          <w:tcPr>
            <w:tcW w:w="1248"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配合制定市级土壤污染防治工作方案得1分；配合制定耕地土壤环境质量监测和土壤污染状况调查及风险评估方案和年度实施计划得1分。</w:t>
            </w:r>
          </w:p>
        </w:tc>
        <w:tc>
          <w:tcPr>
            <w:tcW w:w="957"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环保分局</w:t>
            </w:r>
          </w:p>
        </w:tc>
        <w:tc>
          <w:tcPr>
            <w:tcW w:w="1158" w:type="dxa"/>
            <w:tcBorders>
              <w:top w:val="single" w:color="auto"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土房分局         农林水利局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1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23.粮食生产禁止区划定(2分)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(33)耕地土壤污染和农产品协同监测与评价</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对主要耕地土壤污染状况和农产品进行调查监测及风险评估，并形成相应调查监测评估报告的得1分，否则不得分。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环保分局       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3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(34)粮食生产禁止区划定</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制定粮食生产禁止区划定方案，并开展粮食生产禁止区划定试点的得1分，否则不得分。对于没有粮食生产禁止区划定任务的地区，该项目自动得1分。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80" w:hRule="atLeast"/>
        </w:trPr>
        <w:tc>
          <w:tcPr>
            <w:tcW w:w="1242" w:type="dxa"/>
            <w:vMerge w:val="continue"/>
            <w:tcBorders>
              <w:left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p>
        </w:tc>
        <w:tc>
          <w:tcPr>
            <w:tcW w:w="122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(十一)健全粮食质量安全监管保障体系(6分)</w:t>
            </w: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24.严格实行粮食质量安全监管和责任追究制度；建立超标粮食处置长效机制(3分)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(35)落实政府粮食质量安全监管责任，建立超标粮食处置长效机制，实行粮食质量安全监管责任制</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出台粮食质量安全监管的具体措施，明确相关职能部门监管责任的得1分；区政府相关职能部门建立粮食质量安全监管及超标粮食处置协调长效机制的得1分。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市场监管局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    农林水利局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35"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both"/>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(36)开展粮食质量卫生安全监测和质量调查，严防不合格粮食流入口粮市场或未经无害化处理用于食品生产经营</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开展粮食质量安全监测的得0.5分；未发现不合格粮食流入口粮市场的，得0.5分。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60" w:hRule="atLeast"/>
        </w:trPr>
        <w:tc>
          <w:tcPr>
            <w:tcW w:w="1242" w:type="dxa"/>
            <w:vMerge w:val="continue"/>
            <w:tcBorders>
              <w:left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25.粮食质量安全监管机构及质量监测机构建设；粮食质量安全监管执法装备配备及检验监测业务经费保障；库存粮油质量监管(3分)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(37)加强粮食质量安全监管和监测机构建设。配备粮食质量安全检测执法装备，保障质量安全检验监测业务经费</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1.50</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粮食质量安全监管监测执法装备健全得1分；粮食质量安全检验监测工作经费有保障的得0.5分。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发改局    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4" w:hRule="atLeast"/>
        </w:trPr>
        <w:tc>
          <w:tcPr>
            <w:tcW w:w="1242" w:type="dxa"/>
            <w:vMerge w:val="continue"/>
            <w:tcBorders>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24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240" w:lineRule="exact"/>
              <w:ind w:left="0" w:leftChars="0" w:right="0" w:firstLine="0" w:firstLineChars="0"/>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(38)开展库存粮油质量监测和检查，执行国家粮油质量标准，妥善解决检查中发现的不合格粮食</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1.50</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24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对发现的不合格粮食按照国家规定处置的得1分；对检查出的质量管理问题及时督促粮食经营者整改的得0.5分。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95"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六、按照保障粮食安全的要求，落实农业、粮食等相关行政主管部门的职责任务，确保责任落实、人员落实(8分)</w:t>
            </w:r>
          </w:p>
        </w:tc>
        <w:tc>
          <w:tcPr>
            <w:tcW w:w="122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(十二)落实工作责任(8分)</w:t>
            </w:r>
          </w:p>
        </w:tc>
        <w:tc>
          <w:tcPr>
            <w:tcW w:w="1389"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26.保障粮食安全各环节工作力量；细化农业、粮食等相关行政主管部门的责任，建立健全责任追究机制(8分)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Times New Roman" w:hAnsi="宋体"/>
                <w:b w:val="0"/>
                <w:i w:val="0"/>
                <w:color w:val="000000"/>
                <w:sz w:val="20"/>
                <w:u w:val="none"/>
                <w:shd w:val="clear" w:color="auto" w:fill="FFFFFF"/>
              </w:rPr>
            </w:pPr>
            <w:r>
              <w:rPr>
                <w:rFonts w:hint="default" w:ascii="Times New Roman" w:hAnsi="宋体"/>
                <w:b w:val="0"/>
                <w:i w:val="0"/>
                <w:color w:val="000000"/>
                <w:sz w:val="20"/>
                <w:u w:val="none"/>
                <w:shd w:val="clear" w:color="auto" w:fill="FFFFFF"/>
              </w:rPr>
              <w:t>(</w:t>
            </w:r>
            <w:r>
              <w:rPr>
                <w:rFonts w:hint="default" w:ascii="宋体" w:hAnsi="宋体" w:eastAsia="宋体"/>
                <w:b w:val="0"/>
                <w:i w:val="0"/>
                <w:color w:val="000000"/>
                <w:sz w:val="20"/>
                <w:u w:val="none"/>
                <w:shd w:val="clear" w:color="auto" w:fill="FFFFFF"/>
                <w:lang w:eastAsia="zh-CN"/>
              </w:rPr>
              <w:t>39)配合粮食安全行政首长责任制考核工作，明确职责分工</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4.00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配合开展粮食安全行政首长责任制考核工作，明确相关职责分工，印发工作方案的得</w:t>
            </w:r>
            <w:r>
              <w:rPr>
                <w:rFonts w:hint="default" w:ascii="Times New Roman" w:hAnsi="宋体"/>
                <w:b w:val="0"/>
                <w:i w:val="0"/>
                <w:color w:val="000000"/>
                <w:sz w:val="20"/>
                <w:u w:val="none"/>
                <w:shd w:val="clear" w:color="auto" w:fill="FFFFFF"/>
              </w:rPr>
              <w:t>2</w:t>
            </w:r>
            <w:r>
              <w:rPr>
                <w:rFonts w:hint="default" w:ascii="宋体" w:hAnsi="宋体" w:eastAsia="宋体"/>
                <w:b w:val="0"/>
                <w:i w:val="0"/>
                <w:color w:val="000000"/>
                <w:sz w:val="20"/>
                <w:u w:val="none"/>
                <w:shd w:val="clear" w:color="auto" w:fill="FFFFFF"/>
                <w:lang w:eastAsia="zh-CN"/>
              </w:rPr>
              <w:t>分；日常监督考核情况及时向市考核工作组报送信息的得2分；否则不得分。</w:t>
            </w:r>
          </w:p>
        </w:tc>
        <w:tc>
          <w:tcPr>
            <w:tcW w:w="9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农林水利局</w:t>
            </w:r>
          </w:p>
        </w:tc>
        <w:tc>
          <w:tcPr>
            <w:tcW w:w="1158"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区委编办</w:t>
            </w:r>
            <w:r>
              <w:rPr>
                <w:rFonts w:hint="default" w:ascii="宋体" w:hAnsi="宋体" w:eastAsia="宋体"/>
                <w:b w:val="0"/>
                <w:i w:val="0"/>
                <w:color w:val="000000"/>
                <w:sz w:val="20"/>
                <w:u w:val="none"/>
                <w:shd w:val="clear" w:color="auto" w:fill="FFFFFF"/>
                <w:lang w:eastAsia="zh-CN"/>
              </w:rPr>
              <w:br w:type="textWrapping"/>
            </w: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55"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utoSpaceDN w:val="0"/>
              <w:adjustRightInd/>
              <w:snapToGrid/>
              <w:spacing w:before="0" w:after="0" w:line="300" w:lineRule="exact"/>
              <w:ind w:left="0" w:leftChars="0" w:right="0" w:firstLine="0" w:firstLineChars="0"/>
              <w:textAlignment w:val="auto"/>
              <w:outlineLvl w:val="9"/>
              <w:rPr>
                <w:rFonts w:hint="default" w:ascii="宋体" w:hAnsi="宋体"/>
                <w:sz w:val="24"/>
              </w:rPr>
            </w:pPr>
          </w:p>
        </w:tc>
        <w:tc>
          <w:tcPr>
            <w:tcW w:w="1389"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sz w:val="24"/>
              </w:rPr>
            </w:pP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(40)落实本区农业、粮食行政执法工作力量，建立责任追究机制</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4.00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落实本区农业、粮食监督检查执法职责，落实专项资金，配备执法装备，建立健全责任追究机制的得4分，否则不得分。</w:t>
            </w:r>
          </w:p>
        </w:tc>
        <w:tc>
          <w:tcPr>
            <w:tcW w:w="9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c>
          <w:tcPr>
            <w:tcW w:w="1158"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350" w:hRule="atLeast"/>
        </w:trPr>
        <w:tc>
          <w:tcPr>
            <w:tcW w:w="124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定性评价考核指标(7分)</w:t>
            </w:r>
          </w:p>
        </w:tc>
        <w:tc>
          <w:tcPr>
            <w:tcW w:w="2611"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区人民政府粮食生产扶持政策(2分)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(1)加大对粮食生产的政策扶持</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除中央和省级财政资金外，各区（岛外各区）财政安排扶持粮食生产专项资金，比上年增加10%以上(含)的加2分，增加5%以上(含)的加1.5分，增加5%以下的加1分，不增加的不加分。比上年减少5%以下的减1分，减少5%以上(含)的减1.5分，减少10%以上(含)的减2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农林水利局      土房分局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95"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2611"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区人民政府开展粮食产销合作、鼓励引粮入厦(2分)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(2)建立长期稳定的产销合作关系</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与产粮区签订产销战略合作协议，确立长期稳定购销合作关系的得1分；出台促进粮食产销合作发展具体政策措施的，得1分；否则相应减分。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20"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2611"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区人民政府“放心粮油”工程建设(2分)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(3)扩大“放心粮油”覆盖面</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2.00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积极配合开展“放心粮油”工程建设的得2分,否则相应减分。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5" w:hRule="atLeast"/>
        </w:trPr>
        <w:tc>
          <w:tcPr>
            <w:tcW w:w="12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wordWrap/>
              <w:adjustRightInd/>
              <w:snapToGrid/>
              <w:spacing w:before="0" w:after="0" w:line="300" w:lineRule="exact"/>
              <w:ind w:left="0" w:leftChars="0" w:right="0" w:firstLine="0" w:firstLineChars="0"/>
              <w:outlineLvl w:val="9"/>
              <w:rPr>
                <w:rFonts w:hint="default" w:ascii="宋体" w:hAnsi="宋体"/>
                <w:sz w:val="24"/>
              </w:rPr>
            </w:pPr>
          </w:p>
        </w:tc>
        <w:tc>
          <w:tcPr>
            <w:tcW w:w="2611"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left"/>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区人民政府节粮减损(1分)</w:t>
            </w:r>
          </w:p>
        </w:tc>
        <w:tc>
          <w:tcPr>
            <w:tcW w:w="19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(4)开展爱粮节粮宣传活动</w:t>
            </w:r>
          </w:p>
        </w:tc>
        <w:tc>
          <w:tcPr>
            <w:tcW w:w="124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xml:space="preserve">1.00 </w:t>
            </w:r>
          </w:p>
        </w:tc>
        <w:tc>
          <w:tcPr>
            <w:tcW w:w="50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both"/>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各区配合开展爱粮节粮宣传活动的得1分，否则不得分。</w:t>
            </w:r>
          </w:p>
        </w:tc>
        <w:tc>
          <w:tcPr>
            <w:tcW w:w="9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粮食分局</w:t>
            </w:r>
          </w:p>
        </w:tc>
        <w:tc>
          <w:tcPr>
            <w:tcW w:w="1158"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val="0"/>
              <w:shd w:val="solid" w:color="FFFFFF" w:fill="auto"/>
              <w:wordWrap/>
              <w:autoSpaceDN w:val="0"/>
              <w:adjustRightInd/>
              <w:snapToGrid/>
              <w:spacing w:before="0" w:after="0" w:line="300" w:lineRule="exact"/>
              <w:ind w:left="0" w:leftChars="0" w:right="0" w:firstLine="0" w:firstLineChars="0"/>
              <w:jc w:val="center"/>
              <w:textAlignment w:val="center"/>
              <w:outlineLvl w:val="9"/>
              <w:rPr>
                <w:rFonts w:hint="default" w:ascii="宋体" w:hAnsi="宋体" w:eastAsia="宋体"/>
                <w:b w:val="0"/>
                <w:i w:val="0"/>
                <w:color w:val="000000"/>
                <w:sz w:val="20"/>
                <w:u w:val="none"/>
                <w:shd w:val="clear" w:color="auto" w:fill="FFFFFF"/>
                <w:lang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D38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zhouyi</dc:creator>
  <cp:lastModifiedBy>zhouyi</cp:lastModifiedBy>
  <dcterms:modified xsi:type="dcterms:W3CDTF">2017-03-02T01:09:14Z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