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政策解读材料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/>
        <w:jc w:val="center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（文字版示例）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一、背景依据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二、目标任务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三、工作进展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四、范围期限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五、主要内容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（一）涉及企业群众等办事的，要说明惠企利民措施，执行标准、受理单位联系人、联系方式、办事程序、需要材料、办理时限等；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（二）涉及执法事项的，要说明执行范围、执行程序、执行标准等；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（三）涉及贯彻执行上级政策的，要说明创新点；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（四）涉及文件修改的，要说明异同点。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六、注意事项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七、关键词诠释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00" w:firstLineChars="200"/>
        <w:textAlignment w:val="auto"/>
        <w:outlineLvl w:val="9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八、联系人及联系电话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0" w:firstLineChars="0"/>
        <w:jc w:val="left"/>
        <w:textAlignment w:val="auto"/>
        <w:outlineLvl w:val="9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2"/>
        </w:rPr>
        <w:t xml:space="preserve"> 注：上述内容供参考，不同的政策文件侧重可有所不同。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03B1"/>
    <w:rsid w:val="1F8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2021-04-23T09:16:00Z</dcterms:created>
  <dc:creator>Administrator</dc:creator>
  <cp:lastModifiedBy>Administrator</cp:lastModifiedBy>
  <dcterms:modified xsi:type="dcterms:W3CDTF">2021-04-23T09:19:21Z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40C62227834C4EDFB80DDCC27F694D31</vt:lpwstr>
  </property>
</Properties>
</file>