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附件3：</w:t>
      </w:r>
    </w:p>
    <w:p>
      <w:pPr>
        <w:jc w:val="center"/>
        <w:rPr>
          <w:rFonts w:hint="eastAsia" w:ascii="黑体" w:hAnsi="黑体" w:eastAsia="黑体" w:cs="黑体"/>
          <w:b w:val="0"/>
          <w:bCs/>
          <w:sz w:val="36"/>
          <w:szCs w:val="36"/>
          <w:lang w:eastAsia="zh-CN"/>
        </w:rPr>
      </w:pPr>
    </w:p>
    <w:p>
      <w:pPr>
        <w:jc w:val="center"/>
        <w:rPr>
          <w:rFonts w:hint="eastAsia" w:ascii="黑体" w:hAnsi="黑体" w:eastAsia="黑体" w:cs="黑体"/>
          <w:b w:val="0"/>
          <w:bCs/>
          <w:sz w:val="36"/>
          <w:szCs w:val="36"/>
          <w:lang w:eastAsia="zh-CN"/>
        </w:rPr>
      </w:pPr>
      <w:r>
        <w:rPr>
          <w:rFonts w:hint="eastAsia" w:ascii="黑体" w:hAnsi="黑体" w:eastAsia="黑体" w:cs="黑体"/>
          <w:b w:val="0"/>
          <w:bCs/>
          <w:sz w:val="36"/>
          <w:szCs w:val="36"/>
          <w:lang w:eastAsia="zh-CN"/>
        </w:rPr>
        <w:t>厦门市</w:t>
      </w:r>
      <w:bookmarkStart w:id="0" w:name="_GoBack"/>
      <w:bookmarkEnd w:id="0"/>
      <w:r>
        <w:rPr>
          <w:rFonts w:hint="eastAsia" w:ascii="黑体" w:hAnsi="黑体" w:eastAsia="黑体" w:cs="黑体"/>
          <w:b w:val="0"/>
          <w:bCs/>
          <w:sz w:val="36"/>
          <w:szCs w:val="36"/>
          <w:lang w:eastAsia="zh-CN"/>
        </w:rPr>
        <w:t>海沧区城市管理行政执法局</w:t>
      </w:r>
    </w:p>
    <w:p>
      <w:pPr>
        <w:jc w:val="center"/>
        <w:rPr>
          <w:rFonts w:hint="eastAsia" w:ascii="黑体" w:hAnsi="黑体" w:eastAsia="黑体" w:cs="黑体"/>
          <w:b w:val="0"/>
          <w:bCs/>
          <w:sz w:val="36"/>
          <w:szCs w:val="36"/>
        </w:rPr>
      </w:pPr>
      <w:r>
        <w:rPr>
          <w:rFonts w:hint="eastAsia" w:ascii="黑体" w:hAnsi="黑体" w:eastAsia="黑体" w:cs="黑体"/>
          <w:b w:val="0"/>
          <w:bCs/>
          <w:sz w:val="36"/>
          <w:szCs w:val="36"/>
          <w:lang w:eastAsia="zh-CN"/>
        </w:rPr>
        <w:t>临时大型户外广告设施设置行政许可审查工作细则</w:t>
      </w:r>
    </w:p>
    <w:p>
      <w:pPr>
        <w:ind w:firstLine="645"/>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为</w:t>
      </w:r>
      <w:r>
        <w:rPr>
          <w:rFonts w:hint="eastAsia" w:ascii="仿宋" w:hAnsi="仿宋" w:eastAsia="仿宋" w:cs="仿宋"/>
          <w:sz w:val="32"/>
          <w:szCs w:val="32"/>
        </w:rPr>
        <w:t>贯彻落实</w:t>
      </w:r>
      <w:r>
        <w:rPr>
          <w:rFonts w:hint="eastAsia" w:ascii="仿宋" w:hAnsi="仿宋" w:eastAsia="仿宋" w:cs="仿宋"/>
          <w:sz w:val="32"/>
          <w:szCs w:val="32"/>
          <w:lang w:eastAsia="zh-CN"/>
        </w:rPr>
        <w:t>《</w:t>
      </w:r>
      <w:r>
        <w:rPr>
          <w:rFonts w:hint="eastAsia" w:ascii="仿宋" w:hAnsi="仿宋" w:eastAsia="仿宋" w:cs="仿宋"/>
          <w:sz w:val="32"/>
          <w:szCs w:val="32"/>
        </w:rPr>
        <w:t>国务院</w:t>
      </w:r>
      <w:r>
        <w:rPr>
          <w:rFonts w:hint="eastAsia" w:ascii="仿宋" w:hAnsi="仿宋" w:eastAsia="仿宋" w:cs="仿宋"/>
          <w:sz w:val="32"/>
          <w:szCs w:val="32"/>
          <w:lang w:eastAsia="zh-CN"/>
        </w:rPr>
        <w:t>关于在全国推开“证照分离”改革的通知》（国发〔</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35号）精神，根据《厦门市全面推开“证照分离”改革实施方案的通知》</w:t>
      </w:r>
      <w:r>
        <w:rPr>
          <w:rFonts w:hint="eastAsia" w:ascii="仿宋" w:hAnsi="仿宋" w:eastAsia="仿宋" w:cs="仿宋"/>
          <w:sz w:val="32"/>
          <w:szCs w:val="32"/>
          <w:lang w:eastAsia="zh-CN"/>
        </w:rPr>
        <w:t>（厦府〔</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314号）及《厦门市海沧区人民政府关于全面推开“证照分离”改革实施方案的通知》要求</w:t>
      </w:r>
      <w:r>
        <w:rPr>
          <w:rFonts w:hint="eastAsia" w:ascii="仿宋" w:hAnsi="仿宋" w:eastAsia="仿宋"/>
          <w:sz w:val="32"/>
          <w:szCs w:val="32"/>
        </w:rPr>
        <w:t>，结合我局工作实际，制订本细则。</w:t>
      </w:r>
    </w:p>
    <w:p>
      <w:pPr>
        <w:numPr>
          <w:ilvl w:val="0"/>
          <w:numId w:val="1"/>
        </w:numPr>
        <w:ind w:firstLine="645"/>
        <w:rPr>
          <w:rFonts w:hint="eastAsia" w:ascii="黑体" w:hAnsi="黑体" w:eastAsia="黑体"/>
          <w:b w:val="0"/>
          <w:bCs/>
          <w:sz w:val="32"/>
          <w:szCs w:val="32"/>
        </w:rPr>
      </w:pPr>
      <w:r>
        <w:rPr>
          <w:rFonts w:hint="eastAsia" w:ascii="黑体" w:hAnsi="黑体" w:eastAsia="黑体"/>
          <w:b w:val="0"/>
          <w:bCs/>
          <w:sz w:val="32"/>
          <w:szCs w:val="32"/>
        </w:rPr>
        <w:t>各环节审查内容和责任</w:t>
      </w:r>
    </w:p>
    <w:p>
      <w:pPr>
        <w:keepNext w:val="0"/>
        <w:keepLines w:val="0"/>
        <w:pageBreakBefore w:val="0"/>
        <w:widowControl w:val="0"/>
        <w:tabs>
          <w:tab w:val="left" w:pos="0"/>
          <w:tab w:val="left" w:pos="8280"/>
        </w:tabs>
        <w:kinsoku/>
        <w:wordWrap/>
        <w:overflowPunct/>
        <w:topLinePunct w:val="0"/>
        <w:autoSpaceDE/>
        <w:autoSpaceDN/>
        <w:bidi w:val="0"/>
        <w:adjustRightInd/>
        <w:snapToGrid/>
        <w:spacing w:before="0" w:beforeLines="0" w:after="0" w:afterLines="0" w:line="540" w:lineRule="exact"/>
        <w:ind w:left="0" w:leftChars="0" w:right="0" w:rightChars="0" w:firstLine="64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（一）受理环节</w:t>
      </w:r>
    </w:p>
    <w:p>
      <w:pPr>
        <w:numPr>
          <w:ilvl w:val="0"/>
          <w:numId w:val="0"/>
        </w:numPr>
        <w:ind w:left="640" w:leftChars="0"/>
        <w:rPr>
          <w:rFonts w:hint="eastAsia" w:ascii="仿宋" w:hAnsi="仿宋" w:eastAsia="仿宋"/>
          <w:b/>
          <w:bCs w:val="0"/>
          <w:sz w:val="32"/>
          <w:szCs w:val="32"/>
          <w:lang w:val="en-US" w:eastAsia="zh-CN"/>
        </w:rPr>
      </w:pPr>
      <w:r>
        <w:rPr>
          <w:rFonts w:hint="eastAsia" w:ascii="仿宋" w:hAnsi="仿宋" w:eastAsia="仿宋"/>
          <w:b/>
          <w:bCs w:val="0"/>
          <w:sz w:val="32"/>
          <w:szCs w:val="32"/>
          <w:lang w:val="en-US" w:eastAsia="zh-CN"/>
        </w:rPr>
        <w:t>1.受理范围</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（1）实施海沧区临时大型户外广告设施设置许可。</w:t>
      </w:r>
    </w:p>
    <w:p>
      <w:pPr>
        <w:numPr>
          <w:ilvl w:val="0"/>
          <w:numId w:val="0"/>
        </w:numPr>
        <w:ind w:left="640" w:leftChars="0"/>
        <w:rPr>
          <w:rFonts w:hint="eastAsia" w:ascii="仿宋" w:hAnsi="仿宋" w:eastAsia="仿宋"/>
          <w:b/>
          <w:bCs w:val="0"/>
          <w:sz w:val="32"/>
          <w:szCs w:val="32"/>
          <w:lang w:val="en-US" w:eastAsia="zh-CN"/>
        </w:rPr>
      </w:pPr>
      <w:r>
        <w:rPr>
          <w:rFonts w:hint="eastAsia" w:ascii="仿宋" w:hAnsi="仿宋" w:eastAsia="仿宋"/>
          <w:b/>
          <w:bCs w:val="0"/>
          <w:sz w:val="32"/>
          <w:szCs w:val="32"/>
          <w:lang w:val="en-US" w:eastAsia="zh-CN"/>
        </w:rPr>
        <w:t>2.审查内容：</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（1）申报事项是否属于依法应当取得行政许可或备案的事项，应当按照我局公布的权责清单进行受理。</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（2）申报材料是否齐全，是否在有效期内；应当提供原件、复印件、电子化材料的是否提供。</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（3）申报表格填写是否完整，申报表中的信息与申报的其它纸质材料是否一致。</w:t>
      </w:r>
    </w:p>
    <w:p>
      <w:pPr>
        <w:numPr>
          <w:ilvl w:val="0"/>
          <w:numId w:val="0"/>
        </w:numPr>
        <w:ind w:left="640" w:leftChars="0"/>
        <w:rPr>
          <w:rFonts w:hint="eastAsia" w:ascii="仿宋" w:hAnsi="仿宋" w:eastAsia="仿宋"/>
          <w:b/>
          <w:bCs w:val="0"/>
          <w:sz w:val="32"/>
          <w:szCs w:val="32"/>
          <w:lang w:val="en-US" w:eastAsia="zh-CN"/>
        </w:rPr>
      </w:pPr>
      <w:r>
        <w:rPr>
          <w:rFonts w:hint="eastAsia" w:ascii="仿宋" w:hAnsi="仿宋" w:eastAsia="仿宋"/>
          <w:b/>
          <w:bCs w:val="0"/>
          <w:sz w:val="32"/>
          <w:szCs w:val="32"/>
          <w:lang w:val="en-US" w:eastAsia="zh-CN"/>
        </w:rPr>
        <w:t>3.责任分工：</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（1）窗口受理人员对以上内容进行形式审查，对申报材料的完整性、表格内容与材料的一致性、以及是否在有效期内进行审查确认。</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收取复印件的，受理人员应当核实复印件是否与原件一致，经核对一致的，在复印件上加盖“与原件核对无误”校验章，注明日期，受理人签名；未提供原件的，复印件加盖申请单位公章，并在复印件上加盖“与原件核对无误”校验章，注明日期，申请人签名。</w:t>
      </w:r>
    </w:p>
    <w:p>
      <w:pPr>
        <w:numPr>
          <w:ilvl w:val="0"/>
          <w:numId w:val="2"/>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审核人员对申报材料是否符合要求进行确认。</w:t>
      </w:r>
    </w:p>
    <w:p>
      <w:pPr>
        <w:numPr>
          <w:ilvl w:val="0"/>
          <w:numId w:val="0"/>
        </w:numPr>
        <w:ind w:firstLine="960" w:firstLineChars="300"/>
        <w:rPr>
          <w:rFonts w:hint="eastAsia" w:ascii="仿宋" w:hAnsi="仿宋" w:eastAsia="仿宋"/>
          <w:sz w:val="32"/>
          <w:szCs w:val="32"/>
          <w:lang w:val="en-US" w:eastAsia="zh-CN"/>
        </w:rPr>
      </w:pPr>
      <w:r>
        <w:rPr>
          <w:rFonts w:hint="eastAsia" w:ascii="仿宋" w:hAnsi="仿宋" w:eastAsia="仿宋"/>
          <w:sz w:val="32"/>
          <w:szCs w:val="32"/>
          <w:lang w:val="en-US" w:eastAsia="zh-CN"/>
        </w:rPr>
        <w:t>符合受理条件的，起草收件单、受理单；需要补充材料的，起草一次性告知补件单；不符合受理条件的，说明理由，起草不予受理单。</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（3）首席代表进一步审核材料，审查受理人员、审核人员的意见，作出是否受理的决定。对收件单、受理单、一次性告知补件单、不予受理单等相关文书进行审核。</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（4）受理环节的办理时限，对符合规定的当场受理；对不予受理的，当场出具不予受理单；对需要补件的一次性告知申请人，申请人按要求提交补齐材料之日视为受理时间。</w:t>
      </w:r>
    </w:p>
    <w:p>
      <w:pPr>
        <w:keepNext w:val="0"/>
        <w:keepLines w:val="0"/>
        <w:pageBreakBefore w:val="0"/>
        <w:widowControl w:val="0"/>
        <w:tabs>
          <w:tab w:val="left" w:pos="0"/>
          <w:tab w:val="left" w:pos="8280"/>
        </w:tabs>
        <w:kinsoku/>
        <w:wordWrap/>
        <w:overflowPunct/>
        <w:topLinePunct w:val="0"/>
        <w:autoSpaceDE/>
        <w:autoSpaceDN/>
        <w:bidi w:val="0"/>
        <w:adjustRightInd/>
        <w:snapToGrid/>
        <w:spacing w:before="0" w:beforeLines="0" w:after="0" w:afterLines="0" w:line="540" w:lineRule="exact"/>
        <w:ind w:left="0" w:leftChars="0" w:right="0" w:rightChars="0" w:firstLine="64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（二）审核环节</w:t>
      </w:r>
    </w:p>
    <w:p>
      <w:pPr>
        <w:numPr>
          <w:ilvl w:val="0"/>
          <w:numId w:val="0"/>
        </w:num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1.审查依据</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（1）《中华人民共和国广告法》第四十一条；</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（2）《厦门经济特区户外广告设施设置管理办法》第三章行政许可有关要求；</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（3）《福建省实施&lt;中华人民共和国城乡规划法&gt;办法》第三十六条；</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（4）厦门市户外广告设施设置规划（包括总体规划和详细规划）、《厦门市户外广告设施设置导则》、《厦门市户外广告及户外招牌设施设置技术规范》。</w:t>
      </w:r>
    </w:p>
    <w:p>
      <w:pPr>
        <w:numPr>
          <w:ilvl w:val="0"/>
          <w:numId w:val="0"/>
        </w:num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2.审查内容</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（1）证明主体资格的文件是否有效,按规定不需要提供主体资格证明文件的，从信息平台查询核实其主体资格是否有效。</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（2）非本人或非法定代表人办理的有无授权委托书、委托人及受委托人的身份证复印件。</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（3）安全责任主体确认书是否由法定代表人签字、单位盖公章。</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户外广告设施样件（广告设施的正立面图、彩色效果图、设置位置实景照片、设置位置布局图、安全结构图）是否齐全，设置在场地或人行道上的广告设施《设置位置布局图》是否提供绘图并标出与边界的距离等。</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设置的场地或者场所使用权证明文件是否有效。是否提供场地或场所的权属证明、使用权转让的合同或协议；临时占用城市道路或公路设置临时户外广告设施的，是否提供市政园林、交通运输部门的批准文件；非单一业主的是否提供三分之二以上业主同意设置户外广告设施的签署意见表。场地或场所的使用期限是否与申办的户外广告设施设置期限一致。</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（6）综合材料审核、现场勘察和相关部门意见的情况，对户外广告设施设置的地点、性质、形式是否符合规划、设置导则、技术规范等的要求进行判断。</w:t>
      </w:r>
    </w:p>
    <w:p>
      <w:pPr>
        <w:numPr>
          <w:ilvl w:val="0"/>
          <w:numId w:val="0"/>
        </w:num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3.责任分工</w:t>
      </w:r>
    </w:p>
    <w:p>
      <w:pPr>
        <w:keepNext w:val="0"/>
        <w:keepLines w:val="0"/>
        <w:pageBreakBefore w:val="0"/>
        <w:widowControl w:val="0"/>
        <w:tabs>
          <w:tab w:val="left" w:pos="0"/>
          <w:tab w:val="left" w:pos="8280"/>
        </w:tabs>
        <w:kinsoku/>
        <w:wordWrap/>
        <w:overflowPunct/>
        <w:topLinePunct w:val="0"/>
        <w:autoSpaceDE/>
        <w:autoSpaceDN/>
        <w:bidi w:val="0"/>
        <w:adjustRightInd/>
        <w:snapToGrid/>
        <w:spacing w:before="0" w:beforeLines="0" w:after="0" w:afterLines="0" w:line="540" w:lineRule="exact"/>
        <w:ind w:left="0" w:leftChars="0" w:right="0" w:rightChars="0" w:firstLine="640"/>
        <w:jc w:val="both"/>
        <w:textAlignment w:val="auto"/>
        <w:outlineLvl w:val="9"/>
        <w:rPr>
          <w:rFonts w:hint="eastAsia" w:ascii="Times New Roman" w:hAnsi="Times New Roman" w:eastAsia="仿宋_GB2312" w:cs="Times New Roman"/>
          <w:bCs/>
          <w:sz w:val="32"/>
          <w:szCs w:val="32"/>
          <w:lang w:val="en-US" w:eastAsia="zh-CN"/>
        </w:rPr>
      </w:pPr>
      <w:r>
        <w:rPr>
          <w:rFonts w:hint="eastAsia" w:ascii="仿宋" w:hAnsi="仿宋" w:eastAsia="仿宋"/>
          <w:sz w:val="32"/>
          <w:szCs w:val="32"/>
          <w:lang w:val="en-US" w:eastAsia="zh-CN"/>
        </w:rPr>
        <w:t>（1）</w:t>
      </w:r>
      <w:r>
        <w:rPr>
          <w:rFonts w:hint="eastAsia" w:eastAsia="仿宋_GB2312" w:cs="Times New Roman"/>
          <w:bCs/>
          <w:sz w:val="32"/>
          <w:szCs w:val="32"/>
          <w:lang w:val="en-US" w:eastAsia="zh-CN"/>
        </w:rPr>
        <w:t>局广告设置管理办公室与辖区中队</w:t>
      </w:r>
      <w:r>
        <w:rPr>
          <w:rFonts w:hint="eastAsia" w:ascii="Times New Roman" w:hAnsi="Times New Roman" w:eastAsia="仿宋_GB2312" w:cs="Times New Roman"/>
          <w:bCs/>
          <w:sz w:val="32"/>
          <w:szCs w:val="32"/>
          <w:lang w:val="en-US" w:eastAsia="zh-CN"/>
        </w:rPr>
        <w:t>负责现场勘察</w:t>
      </w:r>
      <w:r>
        <w:rPr>
          <w:rFonts w:hint="eastAsia" w:eastAsia="仿宋_GB2312" w:cs="Times New Roman"/>
          <w:bCs/>
          <w:sz w:val="32"/>
          <w:szCs w:val="32"/>
          <w:lang w:val="en-US" w:eastAsia="zh-CN"/>
        </w:rPr>
        <w:t>。并提出现场勘察意见</w:t>
      </w:r>
      <w:r>
        <w:rPr>
          <w:rFonts w:hint="eastAsia" w:ascii="仿宋" w:hAnsi="仿宋" w:eastAsia="仿宋"/>
          <w:sz w:val="32"/>
          <w:szCs w:val="32"/>
          <w:lang w:val="en-US" w:eastAsia="zh-CN"/>
        </w:rPr>
        <w:t>。</w:t>
      </w:r>
      <w:r>
        <w:rPr>
          <w:rFonts w:hint="eastAsia" w:ascii="Times New Roman" w:hAnsi="Times New Roman" w:eastAsia="仿宋_GB2312" w:cs="Times New Roman"/>
          <w:bCs/>
          <w:sz w:val="32"/>
          <w:szCs w:val="32"/>
          <w:lang w:val="en-US" w:eastAsia="zh-CN"/>
        </w:rPr>
        <w:t>受理后</w:t>
      </w:r>
      <w:r>
        <w:rPr>
          <w:rFonts w:hint="eastAsia" w:eastAsia="仿宋_GB2312" w:cs="Times New Roman"/>
          <w:bCs/>
          <w:sz w:val="32"/>
          <w:szCs w:val="32"/>
          <w:lang w:val="en-US" w:eastAsia="zh-CN"/>
        </w:rPr>
        <w:t>由局广告设置管理办公室</w:t>
      </w:r>
      <w:r>
        <w:rPr>
          <w:rFonts w:hint="eastAsia" w:ascii="Times New Roman" w:hAnsi="Times New Roman" w:eastAsia="仿宋_GB2312" w:cs="Times New Roman"/>
          <w:bCs/>
          <w:sz w:val="32"/>
          <w:szCs w:val="32"/>
          <w:lang w:val="en-US" w:eastAsia="zh-CN"/>
        </w:rPr>
        <w:t>人员将申请材料录入系统，</w:t>
      </w:r>
      <w:r>
        <w:rPr>
          <w:rFonts w:hint="eastAsia" w:eastAsia="仿宋_GB2312" w:cs="Times New Roman"/>
          <w:bCs/>
          <w:sz w:val="32"/>
          <w:szCs w:val="32"/>
          <w:lang w:val="en-US" w:eastAsia="zh-CN"/>
        </w:rPr>
        <w:t>并同时征得</w:t>
      </w:r>
      <w:r>
        <w:rPr>
          <w:rFonts w:hint="eastAsia" w:ascii="Times New Roman" w:hAnsi="Times New Roman" w:eastAsia="仿宋_GB2312" w:cs="Times New Roman"/>
          <w:bCs/>
          <w:sz w:val="32"/>
          <w:szCs w:val="32"/>
          <w:lang w:val="en-US" w:eastAsia="zh-CN"/>
        </w:rPr>
        <w:t>市政园林、交通部门等相关部门意见。</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（2）窗口人员负责材料审核。申请材料由工作人员分别进行审核，并综合现场勘察、相关部门的意见，进行集体讨论，形成记录和审核意见。</w:t>
      </w:r>
    </w:p>
    <w:p>
      <w:pPr>
        <w:keepNext w:val="0"/>
        <w:keepLines w:val="0"/>
        <w:pageBreakBefore w:val="0"/>
        <w:widowControl w:val="0"/>
        <w:tabs>
          <w:tab w:val="left" w:pos="0"/>
          <w:tab w:val="left" w:pos="8280"/>
        </w:tabs>
        <w:kinsoku/>
        <w:wordWrap/>
        <w:overflowPunct/>
        <w:topLinePunct w:val="0"/>
        <w:autoSpaceDE/>
        <w:autoSpaceDN/>
        <w:bidi w:val="0"/>
        <w:adjustRightInd/>
        <w:snapToGrid/>
        <w:spacing w:before="0" w:beforeLines="0" w:after="0" w:afterLines="0" w:line="540" w:lineRule="exact"/>
        <w:ind w:left="0" w:leftChars="0" w:right="0" w:rightChars="0" w:firstLine="64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（三）批准环节</w:t>
      </w:r>
    </w:p>
    <w:p>
      <w:pPr>
        <w:numPr>
          <w:ilvl w:val="0"/>
          <w:numId w:val="0"/>
        </w:num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1.审查内容</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（1）是否按规定流程办理，特殊环节是否符合相关规定；</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（2）是否按规定时限完成；</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（3）批文内容和格式是否符合规范；</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（4）对不予许可的，是否按规定告知申请人行政救济权利。</w:t>
      </w:r>
    </w:p>
    <w:p>
      <w:pPr>
        <w:numPr>
          <w:ilvl w:val="0"/>
          <w:numId w:val="0"/>
        </w:num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2.责任分工</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（1）首席代表根据窗口工作人员集体讨论意见作出是否予以许可的决定。</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（2）局分管领导根据首席代表提出的讨论意见作出是否予以许可的决定。</w:t>
      </w:r>
    </w:p>
    <w:p>
      <w:pPr>
        <w:keepNext w:val="0"/>
        <w:keepLines w:val="0"/>
        <w:pageBreakBefore w:val="0"/>
        <w:widowControl w:val="0"/>
        <w:tabs>
          <w:tab w:val="left" w:pos="0"/>
          <w:tab w:val="left" w:pos="8280"/>
        </w:tabs>
        <w:kinsoku/>
        <w:wordWrap/>
        <w:overflowPunct/>
        <w:topLinePunct w:val="0"/>
        <w:autoSpaceDE/>
        <w:autoSpaceDN/>
        <w:bidi w:val="0"/>
        <w:adjustRightInd/>
        <w:snapToGrid/>
        <w:spacing w:before="0" w:beforeLines="0" w:after="0" w:afterLines="0" w:line="540" w:lineRule="exact"/>
        <w:ind w:left="0" w:leftChars="0" w:right="0" w:rightChars="0" w:firstLine="64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（四）文书制作、送达环节</w:t>
      </w:r>
    </w:p>
    <w:p>
      <w:pPr>
        <w:numPr>
          <w:ilvl w:val="0"/>
          <w:numId w:val="0"/>
        </w:num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1.审查内容</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（1）决定书、户外广告设施设置许可证内容是否准确、规范；</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（2）是否按规定流程校对、盖章；</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（3）决定书、许可证是否上传到审批系统、电子证照库、信用信息平台等。</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（4）纸质文书与电子证照是否一致；</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（5）送达回证是否由送达人和领件人分别签字，领件人是否申请人或受委托人。</w:t>
      </w:r>
    </w:p>
    <w:p>
      <w:pPr>
        <w:numPr>
          <w:ilvl w:val="0"/>
          <w:numId w:val="0"/>
        </w:num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2.责任分工：</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（1）录入人员负责文书制作、录入系统；</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（2）审核人员负责校对；</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（3）首席代表负责把关、盖章；</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（4）受理人员负责送达文书。</w:t>
      </w:r>
    </w:p>
    <w:p>
      <w:pPr>
        <w:numPr>
          <w:ilvl w:val="0"/>
          <w:numId w:val="0"/>
        </w:numPr>
        <w:ind w:firstLine="960" w:firstLineChars="300"/>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二、审查注意事项</w:t>
      </w:r>
    </w:p>
    <w:p>
      <w:pPr>
        <w:numPr>
          <w:ilvl w:val="0"/>
          <w:numId w:val="0"/>
        </w:numPr>
        <w:ind w:firstLine="643" w:firstLineChars="200"/>
        <w:rPr>
          <w:rFonts w:hint="eastAsia" w:ascii="仿宋" w:hAnsi="仿宋" w:eastAsia="仿宋"/>
          <w:sz w:val="32"/>
          <w:szCs w:val="32"/>
          <w:lang w:val="en-US" w:eastAsia="zh-CN"/>
        </w:rPr>
      </w:pPr>
      <w:r>
        <w:rPr>
          <w:rFonts w:hint="eastAsia" w:ascii="楷体_GB2312" w:hAnsi="楷体_GB2312" w:eastAsia="楷体_GB2312" w:cs="楷体_GB2312"/>
          <w:b/>
          <w:bCs w:val="0"/>
          <w:sz w:val="32"/>
          <w:szCs w:val="32"/>
          <w:lang w:val="en-US" w:eastAsia="zh-CN"/>
        </w:rPr>
        <w:t>（一）减证便民</w:t>
      </w:r>
      <w:r>
        <w:rPr>
          <w:rFonts w:hint="eastAsia" w:ascii="仿宋" w:hAnsi="仿宋" w:eastAsia="仿宋"/>
          <w:sz w:val="32"/>
          <w:szCs w:val="32"/>
          <w:lang w:val="en-US" w:eastAsia="zh-CN"/>
        </w:rPr>
        <w:t>。凡是通过电子证照库或信息平台能够查询核实的材料，不得要求当事人提供</w:t>
      </w:r>
    </w:p>
    <w:p>
      <w:pPr>
        <w:numPr>
          <w:ilvl w:val="0"/>
          <w:numId w:val="0"/>
        </w:numPr>
        <w:ind w:firstLine="643" w:firstLineChars="200"/>
        <w:rPr>
          <w:rFonts w:hint="eastAsia" w:ascii="仿宋" w:hAnsi="仿宋" w:eastAsia="仿宋"/>
          <w:sz w:val="32"/>
          <w:szCs w:val="32"/>
          <w:lang w:val="en-US" w:eastAsia="zh-CN"/>
        </w:rPr>
      </w:pPr>
      <w:r>
        <w:rPr>
          <w:rFonts w:hint="eastAsia" w:ascii="楷体_GB2312" w:hAnsi="楷体_GB2312" w:eastAsia="楷体_GB2312" w:cs="楷体_GB2312"/>
          <w:b/>
          <w:bCs w:val="0"/>
          <w:sz w:val="32"/>
          <w:szCs w:val="32"/>
          <w:lang w:val="en-US" w:eastAsia="zh-CN"/>
        </w:rPr>
        <w:t>（二）规范内容</w:t>
      </w:r>
      <w:r>
        <w:rPr>
          <w:rFonts w:hint="eastAsia" w:ascii="仿宋" w:hAnsi="仿宋" w:eastAsia="仿宋"/>
          <w:sz w:val="32"/>
          <w:szCs w:val="32"/>
          <w:lang w:val="en-US" w:eastAsia="zh-CN"/>
        </w:rPr>
        <w:t>。示范文本有内容供参考参照，应据实填写，有关要件和内容要齐全、规范、准确。</w:t>
      </w:r>
    </w:p>
    <w:p>
      <w:pPr>
        <w:numPr>
          <w:ilvl w:val="0"/>
          <w:numId w:val="0"/>
        </w:numPr>
        <w:ind w:firstLine="643" w:firstLineChars="200"/>
        <w:rPr>
          <w:rFonts w:hint="eastAsia" w:ascii="仿宋" w:hAnsi="仿宋" w:eastAsia="仿宋"/>
          <w:sz w:val="32"/>
          <w:szCs w:val="32"/>
          <w:lang w:val="en-US" w:eastAsia="zh-CN"/>
        </w:rPr>
      </w:pPr>
      <w:r>
        <w:rPr>
          <w:rFonts w:hint="eastAsia" w:ascii="楷体_GB2312" w:hAnsi="楷体_GB2312" w:eastAsia="楷体_GB2312" w:cs="楷体_GB2312"/>
          <w:b/>
          <w:bCs w:val="0"/>
          <w:sz w:val="32"/>
          <w:szCs w:val="32"/>
          <w:lang w:val="en-US" w:eastAsia="zh-CN"/>
        </w:rPr>
        <w:t>（三）实行“一票否决”制</w:t>
      </w:r>
      <w:r>
        <w:rPr>
          <w:rFonts w:hint="eastAsia" w:ascii="仿宋" w:hAnsi="仿宋" w:eastAsia="仿宋"/>
          <w:sz w:val="32"/>
          <w:szCs w:val="32"/>
          <w:lang w:val="en-US" w:eastAsia="zh-CN"/>
        </w:rPr>
        <w:t>。受理、现场勘验、征求意见、审核、批准等环节，任何环节提出不同意设置的意见，经审查后即作出不予许可。</w:t>
      </w:r>
    </w:p>
    <w:p>
      <w:pPr>
        <w:numPr>
          <w:ilvl w:val="0"/>
          <w:numId w:val="0"/>
        </w:numPr>
        <w:ind w:firstLine="643" w:firstLineChars="200"/>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（四）网上受理还需审查以下事项：</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1.核查申请人提交的电子材料是否清晰。若申请的电子材料损坏或模糊，则要求申请人更正对应材料；</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2.根据申请人提供的有效联系方式，指导并一次性告知申请人提供的材料存在的问题及需补充的材料。</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3.应当提供原件的（如申请表、授权委托书、安全责任主体确认书等）应确保是原件扫描的，实现“一趟不用跑”的全程网上办理目标。</w:t>
      </w:r>
    </w:p>
    <w:p>
      <w:pPr>
        <w:numPr>
          <w:ilvl w:val="0"/>
          <w:numId w:val="0"/>
        </w:numPr>
        <w:ind w:firstLine="960" w:firstLineChars="300"/>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三、廉政防控点</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（一）利用职务便利谋利，未按法定程序和要求受理申请事项。</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（二）与申请方有利益关联，未按照法律法规规定进行回避。</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（三）受人情或利益影响，对不应当许可的事项予以许可，对应当许可的事项不予许可的。</w:t>
      </w:r>
    </w:p>
    <w:p>
      <w:pPr>
        <w:numPr>
          <w:ilvl w:val="0"/>
          <w:numId w:val="0"/>
        </w:numPr>
        <w:ind w:firstLine="960" w:firstLineChars="300"/>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四、需承担后果的不当行政行为</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因不履行或不正确履行职责，有下列情形之一的，相关人员应承担相应的责任：</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（一）对符合法定条件的申请不予许可；</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（二）不公开应当依法公开的材料；</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（三）在受理、审核、决定行政许可过程中，未向申请人履行法定告知义务；</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（四）申请人提交的申请材料不齐全、不符合法定形式，不在法定期限内一次性告知申请人必须补正的全部内容；</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（五）未依法说明不受理行政许可申请和不予行政许可的理由；</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（六）对不符合法定条件的申请人准予行政许可或者超越法定职权作出准予行政许可决定；</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（七）对符合法定条件的申请人不予行政许可或者不在法定期限内作出准予行政许可决定；</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（八）其它违反法律法规和党纪政纪的行为。</w:t>
      </w:r>
    </w:p>
    <w:p>
      <w:pPr>
        <w:numPr>
          <w:ilvl w:val="0"/>
          <w:numId w:val="0"/>
        </w:numPr>
        <w:ind w:firstLine="640" w:firstLineChars="200"/>
        <w:rPr>
          <w:rFonts w:hint="eastAsia" w:ascii="仿宋" w:hAnsi="仿宋" w:eastAsia="仿宋"/>
          <w:sz w:val="32"/>
          <w:szCs w:val="32"/>
          <w:lang w:val="en-US" w:eastAsia="zh-CN"/>
        </w:rPr>
      </w:pPr>
    </w:p>
    <w:sectPr>
      <w:footerReference r:id="rId3" w:type="default"/>
      <w:pgSz w:w="11906" w:h="16838"/>
      <w:pgMar w:top="1157"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12278"/>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4EAD12"/>
    <w:multiLevelType w:val="singleLevel"/>
    <w:tmpl w:val="CB4EAD12"/>
    <w:lvl w:ilvl="0" w:tentative="0">
      <w:start w:val="1"/>
      <w:numFmt w:val="chineseCounting"/>
      <w:suff w:val="nothing"/>
      <w:lvlText w:val="%1、"/>
      <w:lvlJc w:val="left"/>
      <w:rPr>
        <w:rFonts w:hint="eastAsia"/>
      </w:rPr>
    </w:lvl>
  </w:abstractNum>
  <w:abstractNum w:abstractNumId="1">
    <w:nsid w:val="286EE8BE"/>
    <w:multiLevelType w:val="singleLevel"/>
    <w:tmpl w:val="286EE8B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1660"/>
    <w:rsid w:val="00011F80"/>
    <w:rsid w:val="00014322"/>
    <w:rsid w:val="0003252B"/>
    <w:rsid w:val="00046AE5"/>
    <w:rsid w:val="00084789"/>
    <w:rsid w:val="000939AA"/>
    <w:rsid w:val="000A4D1F"/>
    <w:rsid w:val="000B5CA2"/>
    <w:rsid w:val="000C7C8F"/>
    <w:rsid w:val="001064F3"/>
    <w:rsid w:val="00112323"/>
    <w:rsid w:val="00174D54"/>
    <w:rsid w:val="001A25B1"/>
    <w:rsid w:val="001D64B0"/>
    <w:rsid w:val="001E3584"/>
    <w:rsid w:val="00222FCF"/>
    <w:rsid w:val="002237C7"/>
    <w:rsid w:val="00226323"/>
    <w:rsid w:val="00242319"/>
    <w:rsid w:val="002B447E"/>
    <w:rsid w:val="002E7435"/>
    <w:rsid w:val="0032203A"/>
    <w:rsid w:val="00332E43"/>
    <w:rsid w:val="0035283A"/>
    <w:rsid w:val="0038047F"/>
    <w:rsid w:val="003917F5"/>
    <w:rsid w:val="0039613B"/>
    <w:rsid w:val="00396AE9"/>
    <w:rsid w:val="00397424"/>
    <w:rsid w:val="003A5F83"/>
    <w:rsid w:val="003C1660"/>
    <w:rsid w:val="003C7E9B"/>
    <w:rsid w:val="00403C66"/>
    <w:rsid w:val="00451FB0"/>
    <w:rsid w:val="00481EDB"/>
    <w:rsid w:val="00484142"/>
    <w:rsid w:val="004B55C7"/>
    <w:rsid w:val="004C224A"/>
    <w:rsid w:val="004E2472"/>
    <w:rsid w:val="005028E8"/>
    <w:rsid w:val="00506FDD"/>
    <w:rsid w:val="00520615"/>
    <w:rsid w:val="00522DB6"/>
    <w:rsid w:val="00525D65"/>
    <w:rsid w:val="0053226B"/>
    <w:rsid w:val="00540276"/>
    <w:rsid w:val="00562498"/>
    <w:rsid w:val="00570F06"/>
    <w:rsid w:val="005779F3"/>
    <w:rsid w:val="00596F6E"/>
    <w:rsid w:val="005B3539"/>
    <w:rsid w:val="00643857"/>
    <w:rsid w:val="006648B8"/>
    <w:rsid w:val="006A3762"/>
    <w:rsid w:val="006E079B"/>
    <w:rsid w:val="00700B07"/>
    <w:rsid w:val="007B0F4F"/>
    <w:rsid w:val="007D2E88"/>
    <w:rsid w:val="008252F3"/>
    <w:rsid w:val="00831AA6"/>
    <w:rsid w:val="00844A0F"/>
    <w:rsid w:val="00851E18"/>
    <w:rsid w:val="00893579"/>
    <w:rsid w:val="008964B0"/>
    <w:rsid w:val="008A5F46"/>
    <w:rsid w:val="008D49E9"/>
    <w:rsid w:val="008E22BE"/>
    <w:rsid w:val="008E7FD6"/>
    <w:rsid w:val="00912EBF"/>
    <w:rsid w:val="0093402A"/>
    <w:rsid w:val="00935B28"/>
    <w:rsid w:val="009A621C"/>
    <w:rsid w:val="009E088C"/>
    <w:rsid w:val="00A402CC"/>
    <w:rsid w:val="00A9118A"/>
    <w:rsid w:val="00A9437A"/>
    <w:rsid w:val="00AC2CC6"/>
    <w:rsid w:val="00AF4694"/>
    <w:rsid w:val="00B006CF"/>
    <w:rsid w:val="00B41B9E"/>
    <w:rsid w:val="00B47D8D"/>
    <w:rsid w:val="00B6198E"/>
    <w:rsid w:val="00B67E73"/>
    <w:rsid w:val="00B9648B"/>
    <w:rsid w:val="00BB627C"/>
    <w:rsid w:val="00BD51D0"/>
    <w:rsid w:val="00C0774E"/>
    <w:rsid w:val="00C30253"/>
    <w:rsid w:val="00C55E9C"/>
    <w:rsid w:val="00CD5D39"/>
    <w:rsid w:val="00CF41F6"/>
    <w:rsid w:val="00D1118C"/>
    <w:rsid w:val="00D6441D"/>
    <w:rsid w:val="00D81C98"/>
    <w:rsid w:val="00D96B45"/>
    <w:rsid w:val="00D97119"/>
    <w:rsid w:val="00DA7D9A"/>
    <w:rsid w:val="00DE3699"/>
    <w:rsid w:val="00E343F9"/>
    <w:rsid w:val="00E35373"/>
    <w:rsid w:val="00E4795A"/>
    <w:rsid w:val="00E518B4"/>
    <w:rsid w:val="00E57B31"/>
    <w:rsid w:val="00E776EF"/>
    <w:rsid w:val="00E8467A"/>
    <w:rsid w:val="00EA7D6F"/>
    <w:rsid w:val="00EC0B4D"/>
    <w:rsid w:val="00ED5521"/>
    <w:rsid w:val="00F14167"/>
    <w:rsid w:val="00F42674"/>
    <w:rsid w:val="00F60EF5"/>
    <w:rsid w:val="00FB53BA"/>
    <w:rsid w:val="00FC521F"/>
    <w:rsid w:val="00FD605B"/>
    <w:rsid w:val="05F44100"/>
    <w:rsid w:val="08411CDE"/>
    <w:rsid w:val="090C4379"/>
    <w:rsid w:val="14646457"/>
    <w:rsid w:val="16F41344"/>
    <w:rsid w:val="1C0536AE"/>
    <w:rsid w:val="1D5511E4"/>
    <w:rsid w:val="1E45030F"/>
    <w:rsid w:val="21F16D20"/>
    <w:rsid w:val="283312D2"/>
    <w:rsid w:val="2F6E75CB"/>
    <w:rsid w:val="2F856FBC"/>
    <w:rsid w:val="31325829"/>
    <w:rsid w:val="32CC3D4A"/>
    <w:rsid w:val="342F1729"/>
    <w:rsid w:val="35901938"/>
    <w:rsid w:val="372B660D"/>
    <w:rsid w:val="379E36C3"/>
    <w:rsid w:val="38A076BE"/>
    <w:rsid w:val="47677C8A"/>
    <w:rsid w:val="4A685188"/>
    <w:rsid w:val="4AA5367D"/>
    <w:rsid w:val="4C5E1B51"/>
    <w:rsid w:val="4D1C0597"/>
    <w:rsid w:val="4E2077BC"/>
    <w:rsid w:val="4F002AD8"/>
    <w:rsid w:val="4FC023D0"/>
    <w:rsid w:val="508E502F"/>
    <w:rsid w:val="552C4B95"/>
    <w:rsid w:val="554C3C4E"/>
    <w:rsid w:val="5A643A70"/>
    <w:rsid w:val="5D714C8E"/>
    <w:rsid w:val="60D80A7A"/>
    <w:rsid w:val="6B122CFC"/>
    <w:rsid w:val="6F724D75"/>
    <w:rsid w:val="73E96416"/>
    <w:rsid w:val="748A43DC"/>
    <w:rsid w:val="74994177"/>
    <w:rsid w:val="756B22B9"/>
    <w:rsid w:val="770E619A"/>
    <w:rsid w:val="7DB15F7C"/>
    <w:rsid w:val="7DED4B6E"/>
    <w:rsid w:val="7E9633B2"/>
    <w:rsid w:val="7F5D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277</Words>
  <Characters>1584</Characters>
  <Lines>13</Lines>
  <Paragraphs>3</Paragraphs>
  <TotalTime>3</TotalTime>
  <ScaleCrop>false</ScaleCrop>
  <LinksUpToDate>false</LinksUpToDate>
  <CharactersWithSpaces>1858</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2018-07-11T03:07:00Z</dcterms:created>
  <dc:creator>未定义</dc:creator>
  <cp:lastModifiedBy>john</cp:lastModifiedBy>
  <dcterms:modified xsi:type="dcterms:W3CDTF">2018-11-18T10:50:53Z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